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35" w:rsidRPr="00E94150" w:rsidRDefault="00ED0935" w:rsidP="00ED0935">
      <w:pPr>
        <w:jc w:val="both"/>
        <w:rPr>
          <w:b/>
        </w:rPr>
      </w:pPr>
      <w:r>
        <w:rPr>
          <w:b/>
        </w:rPr>
        <w:t xml:space="preserve">ANEXO 1. </w:t>
      </w:r>
      <w:r w:rsidRPr="00E94150">
        <w:rPr>
          <w:b/>
        </w:rPr>
        <w:t>GRÁFICOS</w:t>
      </w:r>
    </w:p>
    <w:p w:rsidR="00ED0935" w:rsidRDefault="00ED0935" w:rsidP="00ED0935">
      <w:pPr>
        <w:jc w:val="both"/>
      </w:pPr>
      <w:r w:rsidRPr="004F6D40">
        <w:rPr>
          <w:b/>
        </w:rPr>
        <w:t xml:space="preserve">Grafico 1. </w:t>
      </w:r>
      <w:r>
        <w:t xml:space="preserve">Porcentajes previstos de masas de agua tipo río que alcanzarán el buen estado en 2015, 2021 y 2027 comparados con el porcentaje que alcanzaba el buen estado en 2009 </w:t>
      </w:r>
    </w:p>
    <w:p w:rsidR="00ED0935" w:rsidRDefault="00ED0935" w:rsidP="00ED0935">
      <w:pPr>
        <w:jc w:val="both"/>
      </w:pPr>
      <w:r>
        <w:rPr>
          <w:noProof/>
          <w:lang w:eastAsia="es-ES"/>
        </w:rPr>
        <w:drawing>
          <wp:inline distT="0" distB="0" distL="0" distR="0">
            <wp:extent cx="5400040" cy="3888105"/>
            <wp:effectExtent l="0" t="0" r="10160" b="1714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D0935" w:rsidRDefault="00ED0935" w:rsidP="00ED0935">
      <w:pPr>
        <w:jc w:val="both"/>
      </w:pPr>
    </w:p>
    <w:p w:rsidR="00ED0935" w:rsidRDefault="00ED0935" w:rsidP="00ED0935">
      <w:pPr>
        <w:jc w:val="both"/>
      </w:pPr>
      <w:r w:rsidRPr="004F6D40">
        <w:rPr>
          <w:b/>
        </w:rPr>
        <w:t>Gráfico 2.</w:t>
      </w:r>
      <w:r>
        <w:t xml:space="preserve"> Porcentajes previstos de masas de agua subterráneas que alcanzarán el buen estado en 2015, 2021 y 2027 comparados con el porcentaje que alcanzaba el buen estado en 2009</w:t>
      </w:r>
    </w:p>
    <w:p w:rsidR="00ED0935" w:rsidRDefault="00ED0935" w:rsidP="00ED0935">
      <w:pPr>
        <w:jc w:val="both"/>
      </w:pPr>
      <w:r>
        <w:rPr>
          <w:noProof/>
          <w:lang w:eastAsia="es-ES"/>
        </w:rPr>
        <w:drawing>
          <wp:inline distT="0" distB="0" distL="0" distR="0">
            <wp:extent cx="5050182" cy="3188473"/>
            <wp:effectExtent l="0" t="0" r="17145" b="1206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D0935" w:rsidRDefault="00ED0935" w:rsidP="00ED0935">
      <w:pPr>
        <w:jc w:val="both"/>
      </w:pPr>
      <w:r w:rsidRPr="004F6D40">
        <w:rPr>
          <w:b/>
        </w:rPr>
        <w:lastRenderedPageBreak/>
        <w:t>Gráfico 3.</w:t>
      </w:r>
      <w:r>
        <w:t xml:space="preserve"> Porcentajes de recursos subterráneos renovables provenientes de masas de agua subterráneas que alcanzarán el buen estado en 2015, 2021 y 2027 o para las que se prevén objetivos menos rigurosos.</w:t>
      </w:r>
    </w:p>
    <w:p w:rsidR="00ED0935" w:rsidRDefault="00ED0935" w:rsidP="00ED0935">
      <w:pPr>
        <w:jc w:val="both"/>
      </w:pPr>
      <w:r>
        <w:rPr>
          <w:noProof/>
          <w:lang w:eastAsia="es-ES"/>
        </w:rPr>
        <w:drawing>
          <wp:inline distT="0" distB="0" distL="0" distR="0">
            <wp:extent cx="5120640" cy="3530380"/>
            <wp:effectExtent l="0" t="0" r="3810" b="1333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D0935" w:rsidRDefault="00ED0935" w:rsidP="00ED0935">
      <w:pPr>
        <w:jc w:val="both"/>
      </w:pPr>
    </w:p>
    <w:p w:rsidR="00ED0935" w:rsidRDefault="00ED0935" w:rsidP="00ED0935">
      <w:pPr>
        <w:jc w:val="both"/>
      </w:pPr>
      <w:r w:rsidRPr="004F6D40">
        <w:rPr>
          <w:b/>
        </w:rPr>
        <w:t>Gráfico 4.</w:t>
      </w:r>
      <w:r>
        <w:t xml:space="preserve"> Porcentajes de longitud cauces fluviales incluidos en la Red Natura 2000 que alcanzarán el buen estado en 2015, 2021 y 2027</w:t>
      </w:r>
    </w:p>
    <w:p w:rsidR="00ED0935" w:rsidRDefault="00ED0935" w:rsidP="00ED0935">
      <w:pPr>
        <w:jc w:val="both"/>
      </w:pPr>
      <w:r>
        <w:rPr>
          <w:noProof/>
          <w:lang w:eastAsia="es-ES"/>
        </w:rPr>
        <w:drawing>
          <wp:inline distT="0" distB="0" distL="0" distR="0">
            <wp:extent cx="5168265" cy="3450866"/>
            <wp:effectExtent l="0" t="0" r="13335" b="1651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0935" w:rsidRDefault="00ED0935" w:rsidP="00ED0935">
      <w:pPr>
        <w:jc w:val="both"/>
      </w:pPr>
    </w:p>
    <w:p w:rsidR="00ED0935" w:rsidRDefault="00ED0935" w:rsidP="00ED0935">
      <w:pPr>
        <w:jc w:val="both"/>
      </w:pPr>
      <w:r w:rsidRPr="004F6D40">
        <w:rPr>
          <w:b/>
        </w:rPr>
        <w:lastRenderedPageBreak/>
        <w:t>Gráfico 5.</w:t>
      </w:r>
      <w:r>
        <w:t xml:space="preserve"> </w:t>
      </w:r>
      <w:r w:rsidRPr="004F6D40">
        <w:t xml:space="preserve">Porcentajes de </w:t>
      </w:r>
      <w:r>
        <w:t xml:space="preserve">superficie ocupada por lagos </w:t>
      </w:r>
      <w:r w:rsidRPr="004F6D40">
        <w:t>incluidos en la Red Natura 2000 que alcanzarán el buen estado en 2015, 2021 y 2027</w:t>
      </w:r>
    </w:p>
    <w:p w:rsidR="00ED0935" w:rsidRDefault="00ED0935" w:rsidP="00ED0935">
      <w:pPr>
        <w:jc w:val="both"/>
      </w:pPr>
      <w:r>
        <w:rPr>
          <w:noProof/>
          <w:lang w:eastAsia="es-ES"/>
        </w:rPr>
        <w:drawing>
          <wp:inline distT="0" distB="0" distL="0" distR="0">
            <wp:extent cx="4699221" cy="3967701"/>
            <wp:effectExtent l="0" t="0" r="6350" b="1397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0935" w:rsidRDefault="00ED0935" w:rsidP="00ED0935">
      <w:pPr>
        <w:jc w:val="both"/>
      </w:pPr>
    </w:p>
    <w:p w:rsidR="00CD2787" w:rsidRDefault="00CD2787"/>
    <w:sectPr w:rsidR="00CD2787" w:rsidSect="00EF6A8A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95" w:rsidRDefault="00ED0935">
    <w:pPr>
      <w:pStyle w:val="Piedep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D0935"/>
    <w:rsid w:val="00031387"/>
    <w:rsid w:val="00044903"/>
    <w:rsid w:val="00053412"/>
    <w:rsid w:val="00074BD4"/>
    <w:rsid w:val="000A6733"/>
    <w:rsid w:val="000F41C0"/>
    <w:rsid w:val="00160F99"/>
    <w:rsid w:val="002A483A"/>
    <w:rsid w:val="003A52A5"/>
    <w:rsid w:val="003C5750"/>
    <w:rsid w:val="0046149D"/>
    <w:rsid w:val="004749C1"/>
    <w:rsid w:val="00481FD0"/>
    <w:rsid w:val="004B0D70"/>
    <w:rsid w:val="004C0773"/>
    <w:rsid w:val="00550949"/>
    <w:rsid w:val="005734AF"/>
    <w:rsid w:val="005F471F"/>
    <w:rsid w:val="006368A0"/>
    <w:rsid w:val="00673727"/>
    <w:rsid w:val="006961CB"/>
    <w:rsid w:val="006A3F52"/>
    <w:rsid w:val="006C5809"/>
    <w:rsid w:val="006E75DA"/>
    <w:rsid w:val="00700E09"/>
    <w:rsid w:val="00713D2E"/>
    <w:rsid w:val="00767421"/>
    <w:rsid w:val="0080188B"/>
    <w:rsid w:val="008457FD"/>
    <w:rsid w:val="00946F2D"/>
    <w:rsid w:val="009676F8"/>
    <w:rsid w:val="009C7FC6"/>
    <w:rsid w:val="009D6B10"/>
    <w:rsid w:val="009E7FA6"/>
    <w:rsid w:val="00A30F6E"/>
    <w:rsid w:val="00A316ED"/>
    <w:rsid w:val="00A92AC9"/>
    <w:rsid w:val="00AB5FDC"/>
    <w:rsid w:val="00AB661C"/>
    <w:rsid w:val="00B6363A"/>
    <w:rsid w:val="00C34985"/>
    <w:rsid w:val="00C601CD"/>
    <w:rsid w:val="00C603F8"/>
    <w:rsid w:val="00C93E35"/>
    <w:rsid w:val="00CA5379"/>
    <w:rsid w:val="00CD2787"/>
    <w:rsid w:val="00CF236B"/>
    <w:rsid w:val="00CF4A1E"/>
    <w:rsid w:val="00D15E8A"/>
    <w:rsid w:val="00D533A0"/>
    <w:rsid w:val="00D634F8"/>
    <w:rsid w:val="00DC7B43"/>
    <w:rsid w:val="00DE32C2"/>
    <w:rsid w:val="00E4058A"/>
    <w:rsid w:val="00E66B9D"/>
    <w:rsid w:val="00EB449E"/>
    <w:rsid w:val="00ED0935"/>
    <w:rsid w:val="00F624EE"/>
    <w:rsid w:val="00F95E39"/>
    <w:rsid w:val="00FA7725"/>
    <w:rsid w:val="00FB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imes New Roman"/>
        <w:bCs/>
        <w:sz w:val="24"/>
        <w:szCs w:val="27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35"/>
    <w:pPr>
      <w:spacing w:after="160" w:line="259" w:lineRule="auto"/>
      <w:jc w:val="left"/>
    </w:pPr>
    <w:rPr>
      <w:rFonts w:asciiTheme="minorHAnsi" w:hAnsiTheme="minorHAnsi" w:cstheme="minorBidi"/>
      <w:bCs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D09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935"/>
    <w:rPr>
      <w:rFonts w:asciiTheme="minorHAnsi" w:hAnsiTheme="minorHAnsi" w:cstheme="minorBidi"/>
      <w:bCs w:val="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935"/>
    <w:rPr>
      <w:rFonts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raciela\Documents\Elements\AGUA\FNCA%20web\PXV-\Documentacio\Estat%20Espanyol\Nuevo%20PHCJ\DocumentacionConsulta_FASE%20III\OMAS%20tipo%20r&#237;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raciela\Documents\Elements\AGUA\FNCA%20web\PXV-\Documentacio\Estat%20Espanyol\Nuevo%20PHCJ\DocumentacionConsulta_FASE%20III\OMAS%20tipo%20r&#237;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raciela\Documents\Elements\AGUA\FNCA%20web\PXV-\Documentacio\Estat%20Espanyol\Nuevo%20PHCJ\DocumentacionConsulta_FASE%20III\Consulta%20oficial%2007-08-2013\PHJ_Anejo08_OMA_on%20working%20da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raciela\Documents\Elements\AGUA\FNCA%20web\PXV-\Documentacio\Estat%20Espanyol\Nuevo%20PHCJ\DocumentacionConsulta_FASE%20III\Consulta%20oficial%2007-08-2013\PHJ_Anejo08_OMA_on%20working%20dat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raciela\Documents\Elements\AGUA\FNCA%20web\PXV-\Documentacio\Estat%20Espanyol\Nuevo%20PHCJ\DocumentacionConsulta_FASE%20III\Consulta%20oficial%2007-08-2013\PHJ_Anejo08_OMA_on%20working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Horizonte de logro de los objetivos ambientales</a:t>
            </a:r>
            <a:r>
              <a:rPr lang="es-ES" baseline="0"/>
              <a:t> de la DMA en masas de agua tipo río por sistemas de explotación de la Demarcación Hidrográfica del Júcar (Anejo 8 borrador PHCDHJúcar)</a:t>
            </a:r>
            <a:endParaRPr lang="es-ES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3311817181757371"/>
          <c:y val="0.2904190632703374"/>
          <c:w val="0.84081238867537578"/>
          <c:h val="0.35134440569620712"/>
        </c:manualLayout>
      </c:layout>
      <c:barChart>
        <c:barDir val="col"/>
        <c:grouping val="clustered"/>
        <c:ser>
          <c:idx val="0"/>
          <c:order val="0"/>
          <c:tx>
            <c:strRef>
              <c:f>'Table 1'!$B$2:$B$3</c:f>
              <c:strCache>
                <c:ptCount val="2"/>
                <c:pt idx="0">
                  <c:v>2009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'Table 1'!$A$4:$A$13</c:f>
              <c:strCache>
                <c:ptCount val="10"/>
                <c:pt idx="0">
                  <c:v>Cenia-Maestrazgo</c:v>
                </c:pt>
                <c:pt idx="1">
                  <c:v>Mijares-Plana de Castellón</c:v>
                </c:pt>
                <c:pt idx="2">
                  <c:v>Palancia-Los Valles</c:v>
                </c:pt>
                <c:pt idx="3">
                  <c:v>Turia</c:v>
                </c:pt>
                <c:pt idx="4">
                  <c:v>Júcar</c:v>
                </c:pt>
                <c:pt idx="5">
                  <c:v>Serpis</c:v>
                </c:pt>
                <c:pt idx="6">
                  <c:v>Marina Alta</c:v>
                </c:pt>
                <c:pt idx="7">
                  <c:v>Marina Baja</c:v>
                </c:pt>
                <c:pt idx="8">
                  <c:v>Vinalopó-Alacantí</c:v>
                </c:pt>
                <c:pt idx="9">
                  <c:v>Total DHJ (304 MASup Río)</c:v>
                </c:pt>
              </c:strCache>
            </c:strRef>
          </c:cat>
          <c:val>
            <c:numRef>
              <c:f>'Table 1'!$C$4:$C$13</c:f>
              <c:numCache>
                <c:formatCode>0%</c:formatCode>
                <c:ptCount val="10"/>
                <c:pt idx="0">
                  <c:v>0.18750000000000025</c:v>
                </c:pt>
                <c:pt idx="1">
                  <c:v>0.60465116279069764</c:v>
                </c:pt>
                <c:pt idx="2">
                  <c:v>0.70000000000000062</c:v>
                </c:pt>
                <c:pt idx="3">
                  <c:v>0.66666666666666663</c:v>
                </c:pt>
                <c:pt idx="4">
                  <c:v>0.46808510638297923</c:v>
                </c:pt>
                <c:pt idx="5">
                  <c:v>0.53333333333333333</c:v>
                </c:pt>
                <c:pt idx="6">
                  <c:v>0.25</c:v>
                </c:pt>
                <c:pt idx="7">
                  <c:v>0.54545454545454541</c:v>
                </c:pt>
                <c:pt idx="8">
                  <c:v>6.6666666666666693E-2</c:v>
                </c:pt>
                <c:pt idx="9">
                  <c:v>0.49013157894736842</c:v>
                </c:pt>
              </c:numCache>
            </c:numRef>
          </c:val>
        </c:ser>
        <c:ser>
          <c:idx val="1"/>
          <c:order val="1"/>
          <c:tx>
            <c:strRef>
              <c:f>'Table 1'!$D$2:$D$3</c:f>
              <c:strCache>
                <c:ptCount val="2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'Table 1'!$A$4:$A$13</c:f>
              <c:strCache>
                <c:ptCount val="10"/>
                <c:pt idx="0">
                  <c:v>Cenia-Maestrazgo</c:v>
                </c:pt>
                <c:pt idx="1">
                  <c:v>Mijares-Plana de Castellón</c:v>
                </c:pt>
                <c:pt idx="2">
                  <c:v>Palancia-Los Valles</c:v>
                </c:pt>
                <c:pt idx="3">
                  <c:v>Turia</c:v>
                </c:pt>
                <c:pt idx="4">
                  <c:v>Júcar</c:v>
                </c:pt>
                <c:pt idx="5">
                  <c:v>Serpis</c:v>
                </c:pt>
                <c:pt idx="6">
                  <c:v>Marina Alta</c:v>
                </c:pt>
                <c:pt idx="7">
                  <c:v>Marina Baja</c:v>
                </c:pt>
                <c:pt idx="8">
                  <c:v>Vinalopó-Alacantí</c:v>
                </c:pt>
                <c:pt idx="9">
                  <c:v>Total DHJ (304 MASup Río)</c:v>
                </c:pt>
              </c:strCache>
            </c:strRef>
          </c:cat>
          <c:val>
            <c:numRef>
              <c:f>'Table 1'!$E$4:$E$14</c:f>
              <c:numCache>
                <c:formatCode>0%</c:formatCode>
                <c:ptCount val="11"/>
                <c:pt idx="0">
                  <c:v>0.18750000000000025</c:v>
                </c:pt>
                <c:pt idx="1">
                  <c:v>0.60465116279069764</c:v>
                </c:pt>
                <c:pt idx="2">
                  <c:v>0.70000000000000062</c:v>
                </c:pt>
                <c:pt idx="3">
                  <c:v>0.66666666666666663</c:v>
                </c:pt>
                <c:pt idx="4">
                  <c:v>0.51063829787234039</c:v>
                </c:pt>
                <c:pt idx="5">
                  <c:v>0.53333333333333333</c:v>
                </c:pt>
                <c:pt idx="6">
                  <c:v>0.25</c:v>
                </c:pt>
                <c:pt idx="7">
                  <c:v>0.72727272727272729</c:v>
                </c:pt>
                <c:pt idx="8">
                  <c:v>6.6666666666666693E-2</c:v>
                </c:pt>
                <c:pt idx="9">
                  <c:v>0.51644736842105166</c:v>
                </c:pt>
              </c:numCache>
            </c:numRef>
          </c:val>
        </c:ser>
        <c:ser>
          <c:idx val="2"/>
          <c:order val="2"/>
          <c:tx>
            <c:strRef>
              <c:f>'Table 1'!$F$2:$F$3</c:f>
              <c:strCache>
                <c:ptCount val="2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'Table 1'!$A$4:$A$13</c:f>
              <c:strCache>
                <c:ptCount val="10"/>
                <c:pt idx="0">
                  <c:v>Cenia-Maestrazgo</c:v>
                </c:pt>
                <c:pt idx="1">
                  <c:v>Mijares-Plana de Castellón</c:v>
                </c:pt>
                <c:pt idx="2">
                  <c:v>Palancia-Los Valles</c:v>
                </c:pt>
                <c:pt idx="3">
                  <c:v>Turia</c:v>
                </c:pt>
                <c:pt idx="4">
                  <c:v>Júcar</c:v>
                </c:pt>
                <c:pt idx="5">
                  <c:v>Serpis</c:v>
                </c:pt>
                <c:pt idx="6">
                  <c:v>Marina Alta</c:v>
                </c:pt>
                <c:pt idx="7">
                  <c:v>Marina Baja</c:v>
                </c:pt>
                <c:pt idx="8">
                  <c:v>Vinalopó-Alacantí</c:v>
                </c:pt>
                <c:pt idx="9">
                  <c:v>Total DHJ (304 MASup Río)</c:v>
                </c:pt>
              </c:strCache>
            </c:strRef>
          </c:cat>
          <c:val>
            <c:numRef>
              <c:f>'Table 1'!$G$4:$G$13</c:f>
              <c:numCache>
                <c:formatCode>0%</c:formatCode>
                <c:ptCount val="10"/>
                <c:pt idx="0">
                  <c:v>0.18750000000000025</c:v>
                </c:pt>
                <c:pt idx="1">
                  <c:v>0.65116279069767469</c:v>
                </c:pt>
                <c:pt idx="2">
                  <c:v>0.8</c:v>
                </c:pt>
                <c:pt idx="3">
                  <c:v>0.66666666666666663</c:v>
                </c:pt>
                <c:pt idx="4">
                  <c:v>0.62411347517730498</c:v>
                </c:pt>
                <c:pt idx="5">
                  <c:v>0.60000000000000064</c:v>
                </c:pt>
                <c:pt idx="6">
                  <c:v>0.25</c:v>
                </c:pt>
                <c:pt idx="7">
                  <c:v>0.72727272727272729</c:v>
                </c:pt>
                <c:pt idx="8">
                  <c:v>6.6666666666666693E-2</c:v>
                </c:pt>
                <c:pt idx="9">
                  <c:v>0.58223684210526216</c:v>
                </c:pt>
              </c:numCache>
            </c:numRef>
          </c:val>
        </c:ser>
        <c:ser>
          <c:idx val="3"/>
          <c:order val="3"/>
          <c:tx>
            <c:strRef>
              <c:f>'Table 1'!$H$2:$H$3</c:f>
              <c:strCache>
                <c:ptCount val="2"/>
                <c:pt idx="0">
                  <c:v>2027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'Table 1'!$A$4:$A$13</c:f>
              <c:strCache>
                <c:ptCount val="10"/>
                <c:pt idx="0">
                  <c:v>Cenia-Maestrazgo</c:v>
                </c:pt>
                <c:pt idx="1">
                  <c:v>Mijares-Plana de Castellón</c:v>
                </c:pt>
                <c:pt idx="2">
                  <c:v>Palancia-Los Valles</c:v>
                </c:pt>
                <c:pt idx="3">
                  <c:v>Turia</c:v>
                </c:pt>
                <c:pt idx="4">
                  <c:v>Júcar</c:v>
                </c:pt>
                <c:pt idx="5">
                  <c:v>Serpis</c:v>
                </c:pt>
                <c:pt idx="6">
                  <c:v>Marina Alta</c:v>
                </c:pt>
                <c:pt idx="7">
                  <c:v>Marina Baja</c:v>
                </c:pt>
                <c:pt idx="8">
                  <c:v>Vinalopó-Alacantí</c:v>
                </c:pt>
                <c:pt idx="9">
                  <c:v>Total DHJ (304 MASup Río)</c:v>
                </c:pt>
              </c:strCache>
            </c:strRef>
          </c:cat>
          <c:val>
            <c:numRef>
              <c:f>'Table 1'!$I$4:$I$13</c:f>
              <c:numCache>
                <c:formatCode>0%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axId val="102589184"/>
        <c:axId val="102591872"/>
      </c:barChart>
      <c:catAx>
        <c:axId val="102589184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Sistemas</a:t>
                </a:r>
                <a:r>
                  <a:rPr lang="es-ES" baseline="0"/>
                  <a:t> de explotación</a:t>
                </a:r>
              </a:p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 baseline="0"/>
                  <a:t>(304 masas de agua tipo río)</a:t>
                </a:r>
                <a:endParaRPr lang="es-ES"/>
              </a:p>
            </c:rich>
          </c:tx>
          <c:layout>
            <c:manualLayout>
              <c:xMode val="edge"/>
              <c:yMode val="edge"/>
              <c:x val="0.36687669640299642"/>
              <c:y val="0.82241448249535776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02591872"/>
        <c:crosses val="autoZero"/>
        <c:auto val="1"/>
        <c:lblAlgn val="ctr"/>
        <c:lblOffset val="100"/>
      </c:catAx>
      <c:valAx>
        <c:axId val="102591872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% de MASup Río 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0258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Horizonte de logro de los objetivos ambientales</a:t>
            </a:r>
            <a:r>
              <a:rPr lang="es-ES" baseline="0"/>
              <a:t> de la DMA en masas de agua subterráneas de la Demarcación Hidrográfica del Júcar (Anejo 8 borrador PHCDHJúcar)</a:t>
            </a:r>
            <a:endParaRPr lang="es-ES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'Table 1'!$B$2:$B$3</c:f>
              <c:strCache>
                <c:ptCount val="2"/>
                <c:pt idx="0">
                  <c:v>2009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'Table 1'!$A$51</c:f>
              <c:strCache>
                <c:ptCount val="1"/>
                <c:pt idx="0">
                  <c:v>Total DHJ</c:v>
                </c:pt>
              </c:strCache>
            </c:strRef>
          </c:cat>
          <c:val>
            <c:numRef>
              <c:f>'Table 1'!$C$51</c:f>
              <c:numCache>
                <c:formatCode>0%</c:formatCode>
                <c:ptCount val="1"/>
                <c:pt idx="0">
                  <c:v>0.53333333333333333</c:v>
                </c:pt>
              </c:numCache>
            </c:numRef>
          </c:val>
        </c:ser>
        <c:ser>
          <c:idx val="1"/>
          <c:order val="1"/>
          <c:tx>
            <c:strRef>
              <c:f>'Table 1'!$D$2:$D$3</c:f>
              <c:strCache>
                <c:ptCount val="2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'Table 1'!$A$51</c:f>
              <c:strCache>
                <c:ptCount val="1"/>
                <c:pt idx="0">
                  <c:v>Total DHJ</c:v>
                </c:pt>
              </c:strCache>
            </c:strRef>
          </c:cat>
          <c:val>
            <c:numRef>
              <c:f>'Table 1'!$E$51</c:f>
              <c:numCache>
                <c:formatCode>0%</c:formatCode>
                <c:ptCount val="1"/>
                <c:pt idx="0">
                  <c:v>0.53333333333333333</c:v>
                </c:pt>
              </c:numCache>
            </c:numRef>
          </c:val>
        </c:ser>
        <c:ser>
          <c:idx val="2"/>
          <c:order val="2"/>
          <c:tx>
            <c:strRef>
              <c:f>'Table 1'!$F$2:$F$3</c:f>
              <c:strCache>
                <c:ptCount val="2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'Table 1'!$A$51</c:f>
              <c:strCache>
                <c:ptCount val="1"/>
                <c:pt idx="0">
                  <c:v>Total DHJ</c:v>
                </c:pt>
              </c:strCache>
            </c:strRef>
          </c:cat>
          <c:val>
            <c:numRef>
              <c:f>'Table 1'!$G$51</c:f>
              <c:numCache>
                <c:formatCode>0%</c:formatCode>
                <c:ptCount val="1"/>
                <c:pt idx="0">
                  <c:v>0.6111111111111116</c:v>
                </c:pt>
              </c:numCache>
            </c:numRef>
          </c:val>
        </c:ser>
        <c:ser>
          <c:idx val="3"/>
          <c:order val="3"/>
          <c:tx>
            <c:strRef>
              <c:f>'Table 1'!$H$2:$H$3</c:f>
              <c:strCache>
                <c:ptCount val="2"/>
                <c:pt idx="0">
                  <c:v>2027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'Table 1'!$A$51</c:f>
              <c:strCache>
                <c:ptCount val="1"/>
                <c:pt idx="0">
                  <c:v>Total DHJ</c:v>
                </c:pt>
              </c:strCache>
            </c:strRef>
          </c:cat>
          <c:val>
            <c:numRef>
              <c:f>'Table 1'!$I$51</c:f>
              <c:numCache>
                <c:formatCode>0%</c:formatCode>
                <c:ptCount val="1"/>
                <c:pt idx="0">
                  <c:v>0.96666666666666667</c:v>
                </c:pt>
              </c:numCache>
            </c:numRef>
          </c:val>
        </c:ser>
        <c:ser>
          <c:idx val="4"/>
          <c:order val="4"/>
          <c:tx>
            <c:v>NO ALCANZARÁ BUEN ESTADO EN 2027 (OMR)</c:v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'Table 1'!$A$51</c:f>
              <c:strCache>
                <c:ptCount val="1"/>
                <c:pt idx="0">
                  <c:v>Total DHJ</c:v>
                </c:pt>
              </c:strCache>
            </c:strRef>
          </c:cat>
          <c:val>
            <c:numRef>
              <c:f>'Table 1'!$K$51</c:f>
              <c:numCache>
                <c:formatCode>0%</c:formatCode>
                <c:ptCount val="1"/>
                <c:pt idx="0">
                  <c:v>3.333333333333334E-2</c:v>
                </c:pt>
              </c:numCache>
            </c:numRef>
          </c:val>
        </c:ser>
        <c:dLbls>
          <c:showVal val="1"/>
        </c:dLbls>
        <c:axId val="103120256"/>
        <c:axId val="103276544"/>
      </c:barChart>
      <c:catAx>
        <c:axId val="10312025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90</a:t>
                </a:r>
                <a:r>
                  <a:rPr lang="es-ES" baseline="0"/>
                  <a:t> masas de agua subterráneas</a:t>
                </a:r>
                <a:endParaRPr lang="es-ES"/>
              </a:p>
            </c:rich>
          </c:tx>
          <c:layout>
            <c:manualLayout>
              <c:xMode val="edge"/>
              <c:yMode val="edge"/>
              <c:x val="0.41155375228751434"/>
              <c:y val="0.85935205217511113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03276544"/>
        <c:crosses val="autoZero"/>
        <c:auto val="1"/>
        <c:lblAlgn val="ctr"/>
        <c:lblOffset val="100"/>
      </c:catAx>
      <c:valAx>
        <c:axId val="103276544"/>
        <c:scaling>
          <c:orientation val="minMax"/>
          <c:max val="1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% de MASubterráneas 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03120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Horizonte de logro</a:t>
            </a:r>
            <a:r>
              <a:rPr lang="es-ES" baseline="0"/>
              <a:t> de los objetivos ambientales de la DMA en masas de agua subterráneas de la DHJ (Anejo 8 borrador PHCDHJúcar)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200" baseline="0"/>
              <a:t>(como porcentaje de los recursos renovables subterráneos totales)</a:t>
            </a:r>
            <a:endParaRPr lang="es-ES" sz="12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'Ordenad Sub RRHH-ObjAmb'!$D$311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'Ordenad Sub RRHH-ObjAmb'!$E$310</c:f>
              <c:strCache>
                <c:ptCount val="1"/>
                <c:pt idx="0">
                  <c:v>Recursos subterráneos renovables totales (3315,5 hm3/año)</c:v>
                </c:pt>
              </c:strCache>
            </c:strRef>
          </c:cat>
          <c:val>
            <c:numRef>
              <c:f>'Ordenad Sub RRHH-ObjAmb'!$F$311</c:f>
              <c:numCache>
                <c:formatCode>0%</c:formatCode>
                <c:ptCount val="1"/>
                <c:pt idx="0">
                  <c:v>0.46626451515608491</c:v>
                </c:pt>
              </c:numCache>
            </c:numRef>
          </c:val>
        </c:ser>
        <c:ser>
          <c:idx val="1"/>
          <c:order val="1"/>
          <c:tx>
            <c:strRef>
              <c:f>'Ordenad Sub RRHH-ObjAmb'!$D$312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'Ordenad Sub RRHH-ObjAmb'!$E$310</c:f>
              <c:strCache>
                <c:ptCount val="1"/>
                <c:pt idx="0">
                  <c:v>Recursos subterráneos renovables totales (3315,5 hm3/año)</c:v>
                </c:pt>
              </c:strCache>
            </c:strRef>
          </c:cat>
          <c:val>
            <c:numRef>
              <c:f>'Ordenad Sub RRHH-ObjAmb'!$F$312</c:f>
              <c:numCache>
                <c:formatCode>0%</c:formatCode>
                <c:ptCount val="1"/>
                <c:pt idx="0">
                  <c:v>0.55346101643794288</c:v>
                </c:pt>
              </c:numCache>
            </c:numRef>
          </c:val>
        </c:ser>
        <c:ser>
          <c:idx val="2"/>
          <c:order val="2"/>
          <c:tx>
            <c:strRef>
              <c:f>'Ordenad Sub RRHH-ObjAmb'!$D$313</c:f>
              <c:strCache>
                <c:ptCount val="1"/>
                <c:pt idx="0">
                  <c:v>2027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'Ordenad Sub RRHH-ObjAmb'!$E$310</c:f>
              <c:strCache>
                <c:ptCount val="1"/>
                <c:pt idx="0">
                  <c:v>Recursos subterráneos renovables totales (3315,5 hm3/año)</c:v>
                </c:pt>
              </c:strCache>
            </c:strRef>
          </c:cat>
          <c:val>
            <c:numRef>
              <c:f>'Ordenad Sub RRHH-ObjAmb'!$F$313</c:f>
              <c:numCache>
                <c:formatCode>0%</c:formatCode>
                <c:ptCount val="1"/>
                <c:pt idx="0">
                  <c:v>0.85254109485748764</c:v>
                </c:pt>
              </c:numCache>
            </c:numRef>
          </c:val>
        </c:ser>
        <c:ser>
          <c:idx val="3"/>
          <c:order val="3"/>
          <c:tx>
            <c:strRef>
              <c:f>'Ordenad Sub RRHH-ObjAmb'!$D$314</c:f>
              <c:strCache>
                <c:ptCount val="1"/>
                <c:pt idx="0">
                  <c:v>Objetivos menos rigurosos (NO ALCANZARÁ EL BUEN ESTADO)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'Ordenad Sub RRHH-ObjAmb'!$E$310</c:f>
              <c:strCache>
                <c:ptCount val="1"/>
                <c:pt idx="0">
                  <c:v>Recursos subterráneos renovables totales (3315,5 hm3/año)</c:v>
                </c:pt>
              </c:strCache>
            </c:strRef>
          </c:cat>
          <c:val>
            <c:numRef>
              <c:f>'Ordenad Sub RRHH-ObjAmb'!$F$314</c:f>
              <c:numCache>
                <c:formatCode>0%</c:formatCode>
                <c:ptCount val="1"/>
                <c:pt idx="0">
                  <c:v>0.14745890514251273</c:v>
                </c:pt>
              </c:numCache>
            </c:numRef>
          </c:val>
        </c:ser>
        <c:dLbls>
          <c:showVal val="1"/>
        </c:dLbls>
        <c:gapWidth val="219"/>
        <c:overlap val="-27"/>
        <c:axId val="91444352"/>
        <c:axId val="91445888"/>
      </c:barChart>
      <c:catAx>
        <c:axId val="914443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91445888"/>
        <c:crosses val="autoZero"/>
        <c:auto val="1"/>
        <c:lblAlgn val="ctr"/>
        <c:lblOffset val="100"/>
      </c:catAx>
      <c:valAx>
        <c:axId val="914458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91444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ES" sz="1400" b="0" i="0" baseline="0">
                <a:effectLst/>
              </a:rPr>
              <a:t>Horizontes de logro de los objetivos ambientales de la DMA para las masas de agua tipo río (natural y muy modificadas) de la DHJ </a:t>
            </a:r>
            <a:r>
              <a:rPr lang="es-ES" sz="1400" b="0" i="0" baseline="0">
                <a:solidFill>
                  <a:srgbClr val="FF0000"/>
                </a:solidFill>
                <a:effectLst/>
              </a:rPr>
              <a:t>incluidas en la Red Natura 2000 </a:t>
            </a:r>
            <a:r>
              <a:rPr lang="es-ES" sz="1400" b="0" i="0" baseline="0">
                <a:effectLst/>
              </a:rPr>
              <a:t>(Anejo 8 borrador PHCDHJúcar)</a:t>
            </a:r>
            <a:endParaRPr lang="es-E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ES" sz="1200"/>
              <a:t>(por</a:t>
            </a:r>
            <a:r>
              <a:rPr lang="es-ES" sz="1200" baseline="0"/>
              <a:t> longitud de cauce)</a:t>
            </a:r>
            <a:endParaRPr lang="es-ES" sz="12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Hoja1!$P$6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Hoja1!$Q$4:$S$4</c:f>
              <c:strCache>
                <c:ptCount val="3"/>
                <c:pt idx="0">
                  <c:v>"Río natural" (3030 km)</c:v>
                </c:pt>
                <c:pt idx="1">
                  <c:v>"Río muy modificada" (76 km)</c:v>
                </c:pt>
                <c:pt idx="2">
                  <c:v>"Total río" (3106 km)</c:v>
                </c:pt>
              </c:strCache>
            </c:strRef>
          </c:cat>
          <c:val>
            <c:numRef>
              <c:f>Hoja1!$Q$6:$S$6</c:f>
              <c:numCache>
                <c:formatCode>0%</c:formatCode>
                <c:ptCount val="3"/>
                <c:pt idx="0">
                  <c:v>0.68996458289954288</c:v>
                </c:pt>
                <c:pt idx="1">
                  <c:v>0.20713124213176695</c:v>
                </c:pt>
                <c:pt idx="2">
                  <c:v>0.67811316977139457</c:v>
                </c:pt>
              </c:numCache>
            </c:numRef>
          </c:val>
        </c:ser>
        <c:ser>
          <c:idx val="1"/>
          <c:order val="1"/>
          <c:tx>
            <c:strRef>
              <c:f>Hoja1!$P$7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Hoja1!$Q$4:$S$4</c:f>
              <c:strCache>
                <c:ptCount val="3"/>
                <c:pt idx="0">
                  <c:v>"Río natural" (3030 km)</c:v>
                </c:pt>
                <c:pt idx="1">
                  <c:v>"Río muy modificada" (76 km)</c:v>
                </c:pt>
                <c:pt idx="2">
                  <c:v>"Total río" (3106 km)</c:v>
                </c:pt>
              </c:strCache>
            </c:strRef>
          </c:cat>
          <c:val>
            <c:numRef>
              <c:f>Hoja1!$Q$7:$S$7</c:f>
              <c:numCache>
                <c:formatCode>0%</c:formatCode>
                <c:ptCount val="3"/>
                <c:pt idx="0">
                  <c:v>0.72935732135450193</c:v>
                </c:pt>
                <c:pt idx="1">
                  <c:v>0.20713124213176695</c:v>
                </c:pt>
                <c:pt idx="2">
                  <c:v>0.71653899153220757</c:v>
                </c:pt>
              </c:numCache>
            </c:numRef>
          </c:val>
        </c:ser>
        <c:ser>
          <c:idx val="2"/>
          <c:order val="2"/>
          <c:tx>
            <c:strRef>
              <c:f>Hoja1!$P$8</c:f>
              <c:strCache>
                <c:ptCount val="1"/>
                <c:pt idx="0">
                  <c:v>2027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Hoja1!$Q$4:$S$4</c:f>
              <c:strCache>
                <c:ptCount val="3"/>
                <c:pt idx="0">
                  <c:v>"Río natural" (3030 km)</c:v>
                </c:pt>
                <c:pt idx="1">
                  <c:v>"Río muy modificada" (76 km)</c:v>
                </c:pt>
                <c:pt idx="2">
                  <c:v>"Total río" (3106 km)</c:v>
                </c:pt>
              </c:strCache>
            </c:strRef>
          </c:cat>
          <c:val>
            <c:numRef>
              <c:f>Hoja1!$Q$8:$S$8</c:f>
              <c:numCache>
                <c:formatCode>0%</c:formatCode>
                <c:ptCount val="3"/>
                <c:pt idx="0">
                  <c:v>1</c:v>
                </c:pt>
                <c:pt idx="1">
                  <c:v>0.99999999999999967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00210176"/>
        <c:axId val="100212096"/>
      </c:barChart>
      <c:catAx>
        <c:axId val="10021017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 baseline="0"/>
                  <a:t>Masa de agua tipo Río </a:t>
                </a:r>
                <a:endParaRPr lang="es-ES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00212096"/>
        <c:crosses val="autoZero"/>
        <c:auto val="1"/>
        <c:lblAlgn val="ctr"/>
        <c:lblOffset val="100"/>
      </c:catAx>
      <c:valAx>
        <c:axId val="1002120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%</a:t>
                </a:r>
                <a:r>
                  <a:rPr lang="es-ES" baseline="0"/>
                  <a:t> long. cauce</a:t>
                </a:r>
                <a:endParaRPr lang="es-ES"/>
              </a:p>
            </c:rich>
          </c:tx>
          <c:spPr>
            <a:noFill/>
            <a:ln>
              <a:noFill/>
            </a:ln>
            <a:effectLst/>
          </c:spPr>
        </c:title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00210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ES" sz="1400" b="0" i="0" baseline="0">
                <a:effectLst/>
              </a:rPr>
              <a:t>Horizontes de logro de los objetivos ambientales de la DMA para las masas de agua tipo lago de la DHJ </a:t>
            </a:r>
            <a:r>
              <a:rPr lang="es-ES" sz="1400" b="0" i="0" baseline="0">
                <a:solidFill>
                  <a:srgbClr val="FF0000"/>
                </a:solidFill>
                <a:effectLst/>
              </a:rPr>
              <a:t>incluidas en la Red Natura 2000 </a:t>
            </a:r>
            <a:r>
              <a:rPr lang="es-ES" sz="1400" b="0" i="0" baseline="0">
                <a:effectLst/>
              </a:rPr>
              <a:t>(Anejo 8 borrador PHCDHJúcar)</a:t>
            </a:r>
            <a:endParaRPr lang="es-ES" sz="14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ES" sz="1200"/>
              <a:t>(por</a:t>
            </a:r>
            <a:r>
              <a:rPr lang="es-ES" sz="1200" baseline="0"/>
              <a:t> superficie en hectáreas de lago)</a:t>
            </a:r>
            <a:endParaRPr lang="es-ES" sz="12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Hoja1!$Z$6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Hoja1!$AA$4</c:f>
              <c:strCache>
                <c:ptCount val="1"/>
                <c:pt idx="0">
                  <c:v>"Total Lago" (4123 ha) </c:v>
                </c:pt>
              </c:strCache>
            </c:strRef>
          </c:cat>
          <c:val>
            <c:numRef>
              <c:f>Hoja1!$AA$6</c:f>
              <c:numCache>
                <c:formatCode>0%</c:formatCode>
                <c:ptCount val="1"/>
                <c:pt idx="0">
                  <c:v>8.3004990806409495E-2</c:v>
                </c:pt>
              </c:numCache>
            </c:numRef>
          </c:val>
        </c:ser>
        <c:ser>
          <c:idx val="1"/>
          <c:order val="1"/>
          <c:tx>
            <c:strRef>
              <c:f>Hoja1!$Z$7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Hoja1!$AA$4</c:f>
              <c:strCache>
                <c:ptCount val="1"/>
                <c:pt idx="0">
                  <c:v>"Total Lago" (4123 ha) </c:v>
                </c:pt>
              </c:strCache>
            </c:strRef>
          </c:cat>
          <c:val>
            <c:numRef>
              <c:f>Hoja1!$AA$7</c:f>
              <c:numCache>
                <c:formatCode>0%</c:formatCode>
                <c:ptCount val="1"/>
                <c:pt idx="0">
                  <c:v>8.3004990806409495E-2</c:v>
                </c:pt>
              </c:numCache>
            </c:numRef>
          </c:val>
        </c:ser>
        <c:ser>
          <c:idx val="2"/>
          <c:order val="2"/>
          <c:tx>
            <c:strRef>
              <c:f>Hoja1!$Z$8</c:f>
              <c:strCache>
                <c:ptCount val="1"/>
                <c:pt idx="0">
                  <c:v>2027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Hoja1!$AA$4</c:f>
              <c:strCache>
                <c:ptCount val="1"/>
                <c:pt idx="0">
                  <c:v>"Total Lago" (4123 ha) </c:v>
                </c:pt>
              </c:strCache>
            </c:strRef>
          </c:cat>
          <c:val>
            <c:numRef>
              <c:f>Hoja1!$AA$8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00240000"/>
        <c:axId val="106111744"/>
      </c:barChart>
      <c:catAx>
        <c:axId val="100240000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 baseline="0"/>
                  <a:t>Masa de agua tipo Lago </a:t>
                </a:r>
                <a:endParaRPr lang="es-ES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06111744"/>
        <c:crosses val="autoZero"/>
        <c:auto val="1"/>
        <c:lblAlgn val="ctr"/>
        <c:lblOffset val="100"/>
      </c:catAx>
      <c:valAx>
        <c:axId val="106111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%</a:t>
                </a:r>
                <a:r>
                  <a:rPr lang="es-ES" baseline="0"/>
                  <a:t> superficie de lago</a:t>
                </a:r>
                <a:endParaRPr lang="es-ES"/>
              </a:p>
            </c:rich>
          </c:tx>
          <c:spPr>
            <a:noFill/>
            <a:ln>
              <a:noFill/>
            </a:ln>
            <a:effectLst/>
          </c:spPr>
        </c:title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0024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 Sanz</dc:creator>
  <cp:lastModifiedBy>Paco Sanz</cp:lastModifiedBy>
  <cp:revision>1</cp:revision>
  <dcterms:created xsi:type="dcterms:W3CDTF">2013-10-16T13:02:00Z</dcterms:created>
  <dcterms:modified xsi:type="dcterms:W3CDTF">2013-10-16T13:03:00Z</dcterms:modified>
</cp:coreProperties>
</file>