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87" w:rsidRPr="00117EDE" w:rsidRDefault="00041E26" w:rsidP="006B48AB">
      <w:pPr>
        <w:jc w:val="center"/>
        <w:rPr>
          <w:b/>
          <w:sz w:val="22"/>
          <w:szCs w:val="22"/>
        </w:rPr>
      </w:pPr>
      <w:r w:rsidRPr="00117EDE">
        <w:rPr>
          <w:b/>
          <w:sz w:val="22"/>
          <w:szCs w:val="22"/>
        </w:rPr>
        <w:t>AL·LEGACIONS A L'ESBORRANY D</w:t>
      </w:r>
      <w:r w:rsidR="00756E5C" w:rsidRPr="00117EDE">
        <w:rPr>
          <w:b/>
          <w:sz w:val="22"/>
          <w:szCs w:val="22"/>
        </w:rPr>
        <w:t xml:space="preserve">EL PLA </w:t>
      </w:r>
      <w:r w:rsidR="00FE0523" w:rsidRPr="00117EDE">
        <w:rPr>
          <w:b/>
          <w:sz w:val="22"/>
          <w:szCs w:val="22"/>
        </w:rPr>
        <w:t xml:space="preserve">HIDROLÒGIC </w:t>
      </w:r>
      <w:r w:rsidR="00756E5C" w:rsidRPr="00117EDE">
        <w:rPr>
          <w:b/>
          <w:sz w:val="22"/>
          <w:szCs w:val="22"/>
        </w:rPr>
        <w:t>DEL XÚQUER</w:t>
      </w:r>
    </w:p>
    <w:p w:rsidR="00592BA4" w:rsidRPr="00117EDE" w:rsidRDefault="00592BA4">
      <w:pPr>
        <w:rPr>
          <w:b/>
          <w:sz w:val="22"/>
          <w:szCs w:val="22"/>
          <w:vertAlign w:val="subscript"/>
        </w:rPr>
      </w:pPr>
    </w:p>
    <w:p w:rsidR="00AD695B" w:rsidRPr="00117EDE" w:rsidRDefault="00FE0523" w:rsidP="00AD695B">
      <w:pPr>
        <w:tabs>
          <w:tab w:val="left" w:pos="1843"/>
        </w:tabs>
        <w:rPr>
          <w:sz w:val="22"/>
          <w:szCs w:val="22"/>
        </w:rPr>
      </w:pPr>
      <w:r w:rsidRPr="00117EDE">
        <w:rPr>
          <w:sz w:val="22"/>
          <w:szCs w:val="22"/>
        </w:rPr>
        <w:t xml:space="preserve">El passat 7 d'agost </w:t>
      </w:r>
      <w:r w:rsidR="00AD695B" w:rsidRPr="00117EDE">
        <w:rPr>
          <w:rStyle w:val="hps"/>
          <w:sz w:val="22"/>
          <w:szCs w:val="22"/>
        </w:rPr>
        <w:t>el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Ministeri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d'Agricultura</w:t>
      </w:r>
      <w:r w:rsidR="00AD695B" w:rsidRPr="00117EDE">
        <w:rPr>
          <w:sz w:val="22"/>
          <w:szCs w:val="22"/>
        </w:rPr>
        <w:t xml:space="preserve">, </w:t>
      </w:r>
      <w:r w:rsidR="00AD695B" w:rsidRPr="00117EDE">
        <w:rPr>
          <w:rStyle w:val="hps"/>
          <w:sz w:val="22"/>
          <w:szCs w:val="22"/>
        </w:rPr>
        <w:t>Alimentació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i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Medi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Ambient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va obrir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el període de consulta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pública de 6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mesos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l'esborrany de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Pla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Hidrològic de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Conca de la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Demarcació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Hidrogràfica del</w:t>
      </w:r>
      <w:r w:rsidR="00AD695B" w:rsidRPr="00117EDE">
        <w:rPr>
          <w:sz w:val="22"/>
          <w:szCs w:val="22"/>
        </w:rPr>
        <w:t xml:space="preserve"> </w:t>
      </w:r>
      <w:r w:rsidR="00AD695B" w:rsidRPr="00117EDE">
        <w:rPr>
          <w:rStyle w:val="hps"/>
          <w:sz w:val="22"/>
          <w:szCs w:val="22"/>
        </w:rPr>
        <w:t>Xúquer</w:t>
      </w:r>
      <w:r w:rsidR="00AD695B" w:rsidRPr="00117EDE">
        <w:rPr>
          <w:sz w:val="22"/>
          <w:szCs w:val="22"/>
        </w:rPr>
        <w:t>.</w:t>
      </w:r>
    </w:p>
    <w:p w:rsidR="00AD695B" w:rsidRPr="00117EDE" w:rsidRDefault="00AD695B" w:rsidP="00B10804">
      <w:pPr>
        <w:rPr>
          <w:sz w:val="22"/>
          <w:szCs w:val="22"/>
        </w:rPr>
      </w:pPr>
    </w:p>
    <w:p w:rsidR="00B10804" w:rsidRPr="00117EDE" w:rsidRDefault="002E06F0" w:rsidP="00B10804">
      <w:pPr>
        <w:rPr>
          <w:sz w:val="22"/>
          <w:szCs w:val="22"/>
        </w:rPr>
      </w:pPr>
      <w:r>
        <w:rPr>
          <w:sz w:val="22"/>
          <w:szCs w:val="22"/>
        </w:rPr>
        <w:t xml:space="preserve">Aquesta proposta de </w:t>
      </w:r>
      <w:r w:rsidR="00C348DD" w:rsidRPr="00117EDE">
        <w:rPr>
          <w:sz w:val="22"/>
          <w:szCs w:val="22"/>
        </w:rPr>
        <w:t>Pla</w:t>
      </w:r>
      <w:r>
        <w:rPr>
          <w:sz w:val="22"/>
          <w:szCs w:val="22"/>
        </w:rPr>
        <w:t xml:space="preserve"> no inclou les mesures necessàries per resoldre la </w:t>
      </w:r>
      <w:r w:rsidR="00327E07" w:rsidRPr="00117EDE">
        <w:rPr>
          <w:sz w:val="22"/>
          <w:szCs w:val="22"/>
        </w:rPr>
        <w:t>sobreexplotació</w:t>
      </w:r>
      <w:r w:rsidR="00584DB2" w:rsidRPr="00117EDE">
        <w:rPr>
          <w:sz w:val="22"/>
          <w:szCs w:val="22"/>
        </w:rPr>
        <w:t xml:space="preserve"> quantitativa i qualitativa de les masses d’aigua</w:t>
      </w:r>
      <w:r>
        <w:rPr>
          <w:sz w:val="22"/>
          <w:szCs w:val="22"/>
        </w:rPr>
        <w:t xml:space="preserve"> de </w:t>
      </w:r>
      <w:r w:rsidR="00584DB2" w:rsidRPr="00117EDE">
        <w:rPr>
          <w:sz w:val="22"/>
          <w:szCs w:val="22"/>
        </w:rPr>
        <w:t xml:space="preserve">la conca </w:t>
      </w:r>
      <w:r w:rsidR="00C348DD" w:rsidRPr="00117EDE">
        <w:rPr>
          <w:sz w:val="22"/>
          <w:szCs w:val="22"/>
        </w:rPr>
        <w:t xml:space="preserve">del Xúquer i </w:t>
      </w:r>
      <w:r>
        <w:rPr>
          <w:sz w:val="22"/>
          <w:szCs w:val="22"/>
        </w:rPr>
        <w:t xml:space="preserve">consolida el repartiment d’aigua per </w:t>
      </w:r>
      <w:r w:rsidR="0047570C">
        <w:rPr>
          <w:sz w:val="22"/>
          <w:szCs w:val="22"/>
        </w:rPr>
        <w:t>damunt d</w:t>
      </w:r>
      <w:r>
        <w:rPr>
          <w:sz w:val="22"/>
          <w:szCs w:val="22"/>
        </w:rPr>
        <w:t xml:space="preserve">els recursos existents que ja es va fer al </w:t>
      </w:r>
      <w:r w:rsidR="00C348DD" w:rsidRPr="00117EDE">
        <w:rPr>
          <w:sz w:val="22"/>
          <w:szCs w:val="22"/>
        </w:rPr>
        <w:t>Pla de</w:t>
      </w:r>
      <w:r>
        <w:rPr>
          <w:sz w:val="22"/>
          <w:szCs w:val="22"/>
        </w:rPr>
        <w:t xml:space="preserve"> Conca de</w:t>
      </w:r>
      <w:r w:rsidR="00C348DD" w:rsidRPr="00117EDE">
        <w:rPr>
          <w:sz w:val="22"/>
          <w:szCs w:val="22"/>
        </w:rPr>
        <w:t xml:space="preserve"> 1998</w:t>
      </w:r>
      <w:r>
        <w:rPr>
          <w:sz w:val="22"/>
          <w:szCs w:val="22"/>
        </w:rPr>
        <w:t>. Per aquestes raons a</w:t>
      </w:r>
      <w:r w:rsidR="00B10804" w:rsidRPr="00117EDE">
        <w:rPr>
          <w:sz w:val="22"/>
          <w:szCs w:val="22"/>
        </w:rPr>
        <w:t>quest</w:t>
      </w:r>
      <w:r>
        <w:rPr>
          <w:sz w:val="22"/>
          <w:szCs w:val="22"/>
        </w:rPr>
        <w:t xml:space="preserve"> esborrany de</w:t>
      </w:r>
      <w:r w:rsidR="00B10804" w:rsidRPr="00117EDE">
        <w:rPr>
          <w:sz w:val="22"/>
          <w:szCs w:val="22"/>
        </w:rPr>
        <w:t xml:space="preserve"> Pla incompleix la Directiva Marc de l'Aigua</w:t>
      </w:r>
      <w:r>
        <w:rPr>
          <w:sz w:val="22"/>
          <w:szCs w:val="22"/>
        </w:rPr>
        <w:t xml:space="preserve">, ja que no avança en </w:t>
      </w:r>
      <w:r w:rsidR="00B10804" w:rsidRPr="00117EDE">
        <w:rPr>
          <w:sz w:val="22"/>
          <w:szCs w:val="22"/>
        </w:rPr>
        <w:t>l'assoliment del bon estat</w:t>
      </w:r>
      <w:r>
        <w:rPr>
          <w:sz w:val="22"/>
          <w:szCs w:val="22"/>
        </w:rPr>
        <w:t xml:space="preserve"> ecològic dels</w:t>
      </w:r>
      <w:r w:rsidR="00B10804" w:rsidRPr="00117EDE">
        <w:rPr>
          <w:sz w:val="22"/>
          <w:szCs w:val="22"/>
        </w:rPr>
        <w:t xml:space="preserve"> rius, aqüífers i zones humides</w:t>
      </w:r>
      <w:r>
        <w:rPr>
          <w:sz w:val="22"/>
          <w:szCs w:val="22"/>
        </w:rPr>
        <w:t>, ni en promoure l’ús sostenible a llarg termini de l’aigua</w:t>
      </w:r>
      <w:r w:rsidR="00B10804" w:rsidRPr="00117EDE">
        <w:rPr>
          <w:sz w:val="22"/>
          <w:szCs w:val="22"/>
        </w:rPr>
        <w:t>.</w:t>
      </w:r>
    </w:p>
    <w:p w:rsidR="00B10804" w:rsidRPr="00117EDE" w:rsidRDefault="00B10804" w:rsidP="00C348DD">
      <w:pPr>
        <w:rPr>
          <w:sz w:val="22"/>
          <w:szCs w:val="22"/>
        </w:rPr>
      </w:pPr>
    </w:p>
    <w:p w:rsidR="003E6F40" w:rsidRPr="00117EDE" w:rsidRDefault="003E6F40" w:rsidP="003E6F40">
      <w:pPr>
        <w:rPr>
          <w:sz w:val="22"/>
          <w:szCs w:val="22"/>
        </w:rPr>
      </w:pPr>
      <w:r w:rsidRPr="00117EDE">
        <w:rPr>
          <w:sz w:val="22"/>
          <w:szCs w:val="22"/>
        </w:rPr>
        <w:t xml:space="preserve">L'esborrany publicat </w:t>
      </w:r>
      <w:r w:rsidRPr="00117EDE">
        <w:rPr>
          <w:sz w:val="22"/>
          <w:szCs w:val="22"/>
          <w:u w:val="single"/>
        </w:rPr>
        <w:t>obri la porta a un nou transvasament des de Cortés de Pallàs</w:t>
      </w:r>
      <w:r w:rsidR="002E06F0">
        <w:rPr>
          <w:sz w:val="22"/>
          <w:szCs w:val="22"/>
          <w:u w:val="single"/>
        </w:rPr>
        <w:t xml:space="preserve"> o Antella</w:t>
      </w:r>
      <w:r w:rsidRPr="00117EDE">
        <w:rPr>
          <w:sz w:val="22"/>
          <w:szCs w:val="22"/>
        </w:rPr>
        <w:t xml:space="preserve">. El canvi </w:t>
      </w:r>
      <w:r w:rsidR="00584DB2" w:rsidRPr="00117EDE">
        <w:rPr>
          <w:sz w:val="22"/>
          <w:szCs w:val="22"/>
        </w:rPr>
        <w:t xml:space="preserve">terminològic </w:t>
      </w:r>
      <w:r w:rsidRPr="00117EDE">
        <w:rPr>
          <w:sz w:val="22"/>
          <w:szCs w:val="22"/>
        </w:rPr>
        <w:t xml:space="preserve">de </w:t>
      </w:r>
      <w:r w:rsidR="00584DB2" w:rsidRPr="00117EDE">
        <w:rPr>
          <w:sz w:val="22"/>
          <w:szCs w:val="22"/>
        </w:rPr>
        <w:t>“r</w:t>
      </w:r>
      <w:r w:rsidRPr="00117EDE">
        <w:rPr>
          <w:sz w:val="22"/>
          <w:szCs w:val="22"/>
        </w:rPr>
        <w:t>ecursos sobrants</w:t>
      </w:r>
      <w:r w:rsidR="00584DB2" w:rsidRPr="00117EDE">
        <w:rPr>
          <w:sz w:val="22"/>
          <w:szCs w:val="22"/>
        </w:rPr>
        <w:t>”</w:t>
      </w:r>
      <w:r w:rsidRPr="00117EDE">
        <w:rPr>
          <w:sz w:val="22"/>
          <w:szCs w:val="22"/>
        </w:rPr>
        <w:t xml:space="preserve">, que apareixia en l'anterior Pla, per </w:t>
      </w:r>
      <w:r w:rsidR="00584DB2" w:rsidRPr="00117EDE">
        <w:rPr>
          <w:sz w:val="22"/>
          <w:szCs w:val="22"/>
        </w:rPr>
        <w:t>“</w:t>
      </w:r>
      <w:r w:rsidRPr="00117EDE">
        <w:rPr>
          <w:sz w:val="22"/>
          <w:szCs w:val="22"/>
        </w:rPr>
        <w:t>recursos excedents</w:t>
      </w:r>
      <w:r w:rsidR="00584DB2" w:rsidRPr="00117EDE">
        <w:rPr>
          <w:sz w:val="22"/>
          <w:szCs w:val="22"/>
        </w:rPr>
        <w:t>”</w:t>
      </w:r>
      <w:r w:rsidRPr="00117EDE">
        <w:rPr>
          <w:sz w:val="22"/>
          <w:szCs w:val="22"/>
        </w:rPr>
        <w:t>, amaga la possibilitat de que eixos excedents es puguen produir no al final del riu -cas dels sobrants- sinó aigües amunt, considerant el conjunt d'aigua emmagatzemada als e</w:t>
      </w:r>
      <w:r w:rsidR="00584DB2" w:rsidRPr="00117EDE">
        <w:rPr>
          <w:sz w:val="22"/>
          <w:szCs w:val="22"/>
        </w:rPr>
        <w:t>mbassaments. La definició de què</w:t>
      </w:r>
      <w:r w:rsidRPr="00117EDE">
        <w:rPr>
          <w:sz w:val="22"/>
          <w:szCs w:val="22"/>
        </w:rPr>
        <w:t xml:space="preserve"> són </w:t>
      </w:r>
      <w:r w:rsidR="00584DB2" w:rsidRPr="00117EDE">
        <w:rPr>
          <w:sz w:val="22"/>
          <w:szCs w:val="22"/>
        </w:rPr>
        <w:t>“</w:t>
      </w:r>
      <w:r w:rsidRPr="00117EDE">
        <w:rPr>
          <w:sz w:val="22"/>
          <w:szCs w:val="22"/>
        </w:rPr>
        <w:t>excedents</w:t>
      </w:r>
      <w:r w:rsidR="00584DB2" w:rsidRPr="00117EDE">
        <w:rPr>
          <w:sz w:val="22"/>
          <w:szCs w:val="22"/>
        </w:rPr>
        <w:t>”</w:t>
      </w:r>
      <w:r w:rsidRPr="00117EDE">
        <w:rPr>
          <w:sz w:val="22"/>
          <w:szCs w:val="22"/>
        </w:rPr>
        <w:t xml:space="preserve"> es difereix a unes normes d'explotació que s'elaboraran posteriorment a l'aprovació del Pla, sense garanties de transparència i participació. </w:t>
      </w:r>
    </w:p>
    <w:p w:rsidR="003E6F40" w:rsidRPr="00117EDE" w:rsidRDefault="003E6F40" w:rsidP="003E6F40">
      <w:pPr>
        <w:rPr>
          <w:sz w:val="22"/>
          <w:szCs w:val="22"/>
        </w:rPr>
      </w:pPr>
    </w:p>
    <w:p w:rsidR="00FB3BEE" w:rsidRPr="00117EDE" w:rsidRDefault="002E06F0" w:rsidP="00FB3BEE">
      <w:pPr>
        <w:rPr>
          <w:sz w:val="22"/>
          <w:szCs w:val="22"/>
        </w:rPr>
      </w:pPr>
      <w:r w:rsidRPr="00E62FC8">
        <w:rPr>
          <w:sz w:val="22"/>
          <w:szCs w:val="22"/>
          <w:u w:val="single"/>
        </w:rPr>
        <w:t>La sobreexplotació de l’aqüífer de la Manxa Oriental</w:t>
      </w:r>
      <w:r>
        <w:rPr>
          <w:sz w:val="22"/>
          <w:szCs w:val="22"/>
        </w:rPr>
        <w:t xml:space="preserve"> és la causa de la pèrdua de cabals base que ha patit el Xúquer al seu pas per Albacete durant dels darreres dècades</w:t>
      </w:r>
      <w:r w:rsidRPr="00214877">
        <w:rPr>
          <w:sz w:val="22"/>
          <w:szCs w:val="22"/>
          <w:u w:val="single"/>
        </w:rPr>
        <w:t xml:space="preserve">. L’esborrany de Pla permet que aquesta situació </w:t>
      </w:r>
      <w:proofErr w:type="spellStart"/>
      <w:r w:rsidRPr="00214877">
        <w:rPr>
          <w:sz w:val="22"/>
          <w:szCs w:val="22"/>
          <w:u w:val="single"/>
        </w:rPr>
        <w:t>continue</w:t>
      </w:r>
      <w:proofErr w:type="spellEnd"/>
      <w:r w:rsidRPr="00214877">
        <w:rPr>
          <w:sz w:val="22"/>
          <w:szCs w:val="22"/>
          <w:u w:val="single"/>
        </w:rPr>
        <w:t xml:space="preserve"> com fins ara</w:t>
      </w:r>
      <w:r>
        <w:rPr>
          <w:sz w:val="22"/>
          <w:szCs w:val="22"/>
        </w:rPr>
        <w:t xml:space="preserve">. Front els 240 hm3/any de recursos renovables en règim natural, el Pla autoritza que </w:t>
      </w:r>
      <w:proofErr w:type="spellStart"/>
      <w:r>
        <w:rPr>
          <w:sz w:val="22"/>
          <w:szCs w:val="22"/>
        </w:rPr>
        <w:t>s’extraguen</w:t>
      </w:r>
      <w:proofErr w:type="spellEnd"/>
      <w:r>
        <w:rPr>
          <w:sz w:val="22"/>
          <w:szCs w:val="22"/>
        </w:rPr>
        <w:t xml:space="preserve"> fins 320 hm3/any –igual que en el Pla de 1998-, incrementant el deteriorament de l’aqüífer i la seua desconnexió del riu; i per tant, el deteriorament del riu, ullals i fonts que s’alimentaven d’aigües subterrànies. A més a més, es manté l’assignació de fins 80 hm3/any d’aigües superficials del Xúquer per substitució de bombejos, el que suposa una detracció immediata de cabals del riu. Així, es manté l’assignació de 400 hm3/any que s’havia aprovat a l’any 1998, i que amb els recursos existents, és molt </w:t>
      </w:r>
      <w:bookmarkStart w:id="0" w:name="_GoBack"/>
      <w:bookmarkEnd w:id="0"/>
      <w:r>
        <w:rPr>
          <w:sz w:val="22"/>
          <w:szCs w:val="22"/>
        </w:rPr>
        <w:t>més insostenible.</w:t>
      </w:r>
      <w:r w:rsidR="00FB3BEE" w:rsidRPr="00117EDE">
        <w:rPr>
          <w:sz w:val="22"/>
          <w:szCs w:val="22"/>
        </w:rPr>
        <w:t xml:space="preserve"> </w:t>
      </w:r>
      <w:r w:rsidR="00041E26" w:rsidRPr="00117EDE">
        <w:rPr>
          <w:sz w:val="22"/>
          <w:szCs w:val="22"/>
        </w:rPr>
        <w:t xml:space="preserve"> </w:t>
      </w:r>
      <w:r w:rsidR="00F37479" w:rsidRPr="00117EDE">
        <w:rPr>
          <w:sz w:val="22"/>
          <w:szCs w:val="22"/>
        </w:rPr>
        <w:t xml:space="preserve"> </w:t>
      </w:r>
      <w:r w:rsidR="00041E26" w:rsidRPr="00117EDE">
        <w:rPr>
          <w:sz w:val="22"/>
          <w:szCs w:val="22"/>
        </w:rPr>
        <w:t xml:space="preserve"> </w:t>
      </w:r>
    </w:p>
    <w:p w:rsidR="00FB3BEE" w:rsidRPr="00117EDE" w:rsidRDefault="00FB3BEE" w:rsidP="00FB3BEE">
      <w:pPr>
        <w:rPr>
          <w:b/>
          <w:sz w:val="22"/>
          <w:szCs w:val="22"/>
        </w:rPr>
      </w:pPr>
    </w:p>
    <w:p w:rsidR="002111F2" w:rsidRPr="00117EDE" w:rsidRDefault="00FB3BEE" w:rsidP="00FB3BEE">
      <w:pPr>
        <w:rPr>
          <w:sz w:val="22"/>
          <w:szCs w:val="22"/>
        </w:rPr>
      </w:pPr>
      <w:r w:rsidRPr="00117EDE">
        <w:rPr>
          <w:sz w:val="22"/>
          <w:szCs w:val="22"/>
          <w:u w:val="single"/>
        </w:rPr>
        <w:t>Els cabals ecològics són els grans sacrificats d'aquest Pla</w:t>
      </w:r>
      <w:r w:rsidR="00F31E73" w:rsidRPr="00117EDE">
        <w:rPr>
          <w:sz w:val="22"/>
          <w:szCs w:val="22"/>
          <w:u w:val="single"/>
        </w:rPr>
        <w:t>,</w:t>
      </w:r>
      <w:r w:rsidRPr="00117EDE">
        <w:rPr>
          <w:sz w:val="22"/>
          <w:szCs w:val="22"/>
        </w:rPr>
        <w:t xml:space="preserve"> d'exigus o inexistents. </w:t>
      </w:r>
      <w:r w:rsidR="00214877">
        <w:rPr>
          <w:sz w:val="22"/>
          <w:szCs w:val="22"/>
        </w:rPr>
        <w:t xml:space="preserve">Així, el Xúquer difícilment botarà l’Assut de la Marquesa (a 4 km de la desembocadura) amb un cabal mínim equivalent a l’1% del seu cabal mitjà. La resta de cabals mínims establerts aigües amunt són, en general, </w:t>
      </w:r>
      <w:r w:rsidR="00480987" w:rsidRPr="00117EDE">
        <w:rPr>
          <w:sz w:val="22"/>
          <w:szCs w:val="22"/>
        </w:rPr>
        <w:t xml:space="preserve">molt </w:t>
      </w:r>
      <w:r w:rsidR="00214877">
        <w:rPr>
          <w:sz w:val="22"/>
          <w:szCs w:val="22"/>
        </w:rPr>
        <w:t xml:space="preserve">inferiors als </w:t>
      </w:r>
      <w:r w:rsidR="00480987" w:rsidRPr="00117EDE">
        <w:rPr>
          <w:sz w:val="22"/>
          <w:szCs w:val="22"/>
        </w:rPr>
        <w:t>cabals mínims absoluts dels rius en règim natural</w:t>
      </w:r>
      <w:r w:rsidR="00405879" w:rsidRPr="00117EDE">
        <w:rPr>
          <w:sz w:val="22"/>
          <w:szCs w:val="22"/>
        </w:rPr>
        <w:t xml:space="preserve">, </w:t>
      </w:r>
      <w:r w:rsidR="00214877">
        <w:rPr>
          <w:sz w:val="22"/>
          <w:szCs w:val="22"/>
        </w:rPr>
        <w:t xml:space="preserve">com succeeix </w:t>
      </w:r>
      <w:r w:rsidR="00AD695B" w:rsidRPr="00117EDE">
        <w:rPr>
          <w:sz w:val="22"/>
          <w:szCs w:val="22"/>
        </w:rPr>
        <w:t>a</w:t>
      </w:r>
      <w:r w:rsidRPr="00117EDE">
        <w:rPr>
          <w:sz w:val="22"/>
          <w:szCs w:val="22"/>
        </w:rPr>
        <w:t xml:space="preserve"> Antella</w:t>
      </w:r>
      <w:r w:rsidR="00214877">
        <w:rPr>
          <w:sz w:val="22"/>
          <w:szCs w:val="22"/>
        </w:rPr>
        <w:t>, on</w:t>
      </w:r>
      <w:r w:rsidRPr="00117EDE">
        <w:rPr>
          <w:sz w:val="22"/>
          <w:szCs w:val="22"/>
        </w:rPr>
        <w:t xml:space="preserve"> el cabal ecològic proposat és de 1'8 m3/segon o </w:t>
      </w:r>
      <w:r w:rsidR="00214877">
        <w:rPr>
          <w:sz w:val="22"/>
          <w:szCs w:val="22"/>
        </w:rPr>
        <w:t>a l’</w:t>
      </w:r>
      <w:r w:rsidRPr="00117EDE">
        <w:rPr>
          <w:sz w:val="22"/>
          <w:szCs w:val="22"/>
        </w:rPr>
        <w:t>Assut de Cullera</w:t>
      </w:r>
      <w:r w:rsidR="00214877">
        <w:rPr>
          <w:sz w:val="22"/>
          <w:szCs w:val="22"/>
        </w:rPr>
        <w:t xml:space="preserve">, on es proposa un mínim de </w:t>
      </w:r>
      <w:r w:rsidRPr="00117EDE">
        <w:rPr>
          <w:sz w:val="22"/>
          <w:szCs w:val="22"/>
        </w:rPr>
        <w:t>1'5</w:t>
      </w:r>
      <w:r w:rsidR="00214877">
        <w:rPr>
          <w:sz w:val="22"/>
          <w:szCs w:val="22"/>
        </w:rPr>
        <w:t xml:space="preserve"> hm3/any</w:t>
      </w:r>
      <w:r w:rsidRPr="00117EDE">
        <w:rPr>
          <w:sz w:val="22"/>
          <w:szCs w:val="22"/>
        </w:rPr>
        <w:t>.</w:t>
      </w:r>
      <w:r w:rsidR="00041E26" w:rsidRPr="00117EDE">
        <w:rPr>
          <w:sz w:val="22"/>
          <w:szCs w:val="22"/>
        </w:rPr>
        <w:t xml:space="preserve"> </w:t>
      </w:r>
      <w:r w:rsidRPr="00117EDE">
        <w:rPr>
          <w:sz w:val="22"/>
          <w:szCs w:val="22"/>
        </w:rPr>
        <w:t xml:space="preserve">El cabal ecològic </w:t>
      </w:r>
      <w:r w:rsidR="00214877">
        <w:rPr>
          <w:sz w:val="22"/>
          <w:szCs w:val="22"/>
        </w:rPr>
        <w:t xml:space="preserve">mínim </w:t>
      </w:r>
      <w:r w:rsidRPr="00117EDE">
        <w:rPr>
          <w:sz w:val="22"/>
          <w:szCs w:val="22"/>
        </w:rPr>
        <w:t>assignat a l'Albufera, de 167 hm3/any</w:t>
      </w:r>
      <w:r w:rsidR="00E62FC8">
        <w:rPr>
          <w:sz w:val="22"/>
          <w:szCs w:val="22"/>
        </w:rPr>
        <w:t xml:space="preserve"> –sense garantir la qualitat de l’aigua assignada-</w:t>
      </w:r>
      <w:r w:rsidR="00214877">
        <w:rPr>
          <w:sz w:val="22"/>
          <w:szCs w:val="22"/>
        </w:rPr>
        <w:t>,</w:t>
      </w:r>
      <w:r w:rsidRPr="00117EDE">
        <w:rPr>
          <w:sz w:val="22"/>
          <w:szCs w:val="22"/>
        </w:rPr>
        <w:t xml:space="preserve"> està molt per </w:t>
      </w:r>
      <w:r w:rsidR="00E62FC8">
        <w:rPr>
          <w:sz w:val="22"/>
          <w:szCs w:val="22"/>
        </w:rPr>
        <w:t>sota</w:t>
      </w:r>
      <w:r w:rsidRPr="00117EDE">
        <w:rPr>
          <w:sz w:val="22"/>
          <w:szCs w:val="22"/>
        </w:rPr>
        <w:t xml:space="preserve"> de les necessitats </w:t>
      </w:r>
      <w:r w:rsidR="00E62FC8">
        <w:rPr>
          <w:sz w:val="22"/>
          <w:szCs w:val="22"/>
        </w:rPr>
        <w:t xml:space="preserve">mínimes </w:t>
      </w:r>
      <w:r w:rsidRPr="00117EDE">
        <w:rPr>
          <w:sz w:val="22"/>
          <w:szCs w:val="22"/>
        </w:rPr>
        <w:t>del llac per a la seua recuperació</w:t>
      </w:r>
      <w:r w:rsidR="00E62FC8">
        <w:rPr>
          <w:sz w:val="22"/>
          <w:szCs w:val="22"/>
        </w:rPr>
        <w:t>, segons estudis científics i documents oficials, situades en a</w:t>
      </w:r>
      <w:r w:rsidR="00405879" w:rsidRPr="00117EDE">
        <w:rPr>
          <w:sz w:val="22"/>
          <w:szCs w:val="22"/>
        </w:rPr>
        <w:t>l menys 250 hm3/any d’aigua de bona qualitat</w:t>
      </w:r>
      <w:r w:rsidR="00AD695B" w:rsidRPr="00117EDE">
        <w:rPr>
          <w:sz w:val="22"/>
          <w:szCs w:val="22"/>
        </w:rPr>
        <w:t xml:space="preserve"> i</w:t>
      </w:r>
      <w:r w:rsidR="00405879" w:rsidRPr="00117EDE">
        <w:rPr>
          <w:sz w:val="22"/>
          <w:szCs w:val="22"/>
        </w:rPr>
        <w:t xml:space="preserve"> sens</w:t>
      </w:r>
      <w:r w:rsidR="00041E26" w:rsidRPr="00117EDE">
        <w:rPr>
          <w:sz w:val="22"/>
          <w:szCs w:val="22"/>
        </w:rPr>
        <w:t>e fòsfor</w:t>
      </w:r>
      <w:r w:rsidR="00AD695B" w:rsidRPr="00117EDE">
        <w:rPr>
          <w:sz w:val="22"/>
          <w:szCs w:val="22"/>
        </w:rPr>
        <w:t>.</w:t>
      </w:r>
    </w:p>
    <w:p w:rsidR="00AD695B" w:rsidRPr="00117EDE" w:rsidRDefault="00AD695B" w:rsidP="00FB3BEE">
      <w:pPr>
        <w:rPr>
          <w:sz w:val="22"/>
          <w:szCs w:val="22"/>
        </w:rPr>
      </w:pPr>
    </w:p>
    <w:p w:rsidR="002111F2" w:rsidRPr="00117EDE" w:rsidRDefault="002111F2" w:rsidP="002111F2">
      <w:pPr>
        <w:rPr>
          <w:sz w:val="22"/>
          <w:szCs w:val="22"/>
        </w:rPr>
      </w:pPr>
      <w:r w:rsidRPr="00117EDE">
        <w:rPr>
          <w:sz w:val="22"/>
          <w:szCs w:val="22"/>
          <w:u w:val="single"/>
        </w:rPr>
        <w:t>Els abastiments de la Ribera estaran lligats a intercanvis</w:t>
      </w:r>
      <w:r w:rsidR="00E62FC8">
        <w:rPr>
          <w:sz w:val="22"/>
          <w:szCs w:val="22"/>
          <w:u w:val="single"/>
        </w:rPr>
        <w:t xml:space="preserve"> amb usuaris de menor prioritat i clarament discriminats respecte a</w:t>
      </w:r>
      <w:r w:rsidRPr="00117EDE">
        <w:rPr>
          <w:sz w:val="22"/>
          <w:szCs w:val="22"/>
          <w:u w:val="single"/>
        </w:rPr>
        <w:t xml:space="preserve"> la resta d'abastiments</w:t>
      </w:r>
      <w:r w:rsidRPr="00117EDE">
        <w:rPr>
          <w:sz w:val="22"/>
          <w:szCs w:val="22"/>
        </w:rPr>
        <w:t xml:space="preserve">. Per als abastiments dels pobles de la Ribera es fixa una assignació de 10 hm3/any però lligada a una permuta amb els pous de sequera dels regants, el funcionament dels quals hauran de pagar els abastiments. Aquesta pretesa “solució” discrimina clarament </w:t>
      </w:r>
      <w:r w:rsidR="00AD695B" w:rsidRPr="00117EDE">
        <w:rPr>
          <w:sz w:val="22"/>
          <w:szCs w:val="22"/>
        </w:rPr>
        <w:t>a</w:t>
      </w:r>
      <w:r w:rsidRPr="00117EDE">
        <w:rPr>
          <w:sz w:val="22"/>
          <w:szCs w:val="22"/>
        </w:rPr>
        <w:t xml:space="preserve"> la Ribera respecte </w:t>
      </w:r>
      <w:r w:rsidR="00AD695B" w:rsidRPr="00117EDE">
        <w:rPr>
          <w:sz w:val="22"/>
          <w:szCs w:val="22"/>
        </w:rPr>
        <w:t>als altres abastiments</w:t>
      </w:r>
      <w:r w:rsidRPr="00117EDE">
        <w:rPr>
          <w:sz w:val="22"/>
          <w:szCs w:val="22"/>
        </w:rPr>
        <w:t>, que no tenen aquesta dependència. Altres 21'5 hm3/any queden com a reserva, però condicionats a la disponibilitat de nous recursos</w:t>
      </w:r>
      <w:r w:rsidR="00AD695B" w:rsidRPr="00117EDE">
        <w:rPr>
          <w:sz w:val="22"/>
          <w:szCs w:val="22"/>
        </w:rPr>
        <w:t>,</w:t>
      </w:r>
      <w:r w:rsidRPr="00117EDE">
        <w:rPr>
          <w:sz w:val="22"/>
          <w:szCs w:val="22"/>
        </w:rPr>
        <w:t xml:space="preserve"> el que, en les circumstàncies actuals, suposa més una reserva virtual que real. A més a més, el Pla no aborda cap mesura per avançar en la solució definitiva i real pels abastiments de la Ribera: la recu</w:t>
      </w:r>
      <w:r w:rsidR="00327E07" w:rsidRPr="00117EDE">
        <w:rPr>
          <w:sz w:val="22"/>
          <w:szCs w:val="22"/>
        </w:rPr>
        <w:t>peració dels aqüífers contamina</w:t>
      </w:r>
      <w:r w:rsidRPr="00117EDE">
        <w:rPr>
          <w:sz w:val="22"/>
          <w:szCs w:val="22"/>
        </w:rPr>
        <w:t xml:space="preserve">ts. El Pla sols contempla de manera molt limitada el problema de l'excés de nitrats però no l'actual contaminació per pesticides. La recuperació d'aquests aqüífers i el seu bon estat s'ajorna en el cas de l'aqüífer de la Serra de les Agulles al 2027 i el de la Plana Sud de València es </w:t>
      </w:r>
      <w:r w:rsidR="00E62FC8">
        <w:rPr>
          <w:sz w:val="22"/>
          <w:szCs w:val="22"/>
        </w:rPr>
        <w:t>renuncia a la seua recuperació, ni tan sols a l’any 2027</w:t>
      </w:r>
      <w:r w:rsidRPr="00117EDE">
        <w:rPr>
          <w:sz w:val="22"/>
          <w:szCs w:val="22"/>
        </w:rPr>
        <w:t>.</w:t>
      </w:r>
    </w:p>
    <w:p w:rsidR="00FB3BEE" w:rsidRPr="00117EDE" w:rsidRDefault="00FB3BEE" w:rsidP="00FB3BEE">
      <w:pPr>
        <w:rPr>
          <w:b/>
          <w:sz w:val="22"/>
          <w:szCs w:val="22"/>
        </w:rPr>
      </w:pPr>
    </w:p>
    <w:p w:rsidR="00F31E73" w:rsidRPr="00117EDE" w:rsidRDefault="00E62FC8" w:rsidP="00C348DD">
      <w:pPr>
        <w:rPr>
          <w:sz w:val="22"/>
          <w:szCs w:val="22"/>
        </w:rPr>
      </w:pPr>
      <w:r>
        <w:rPr>
          <w:sz w:val="22"/>
          <w:szCs w:val="22"/>
        </w:rPr>
        <w:t>Tot això ens porta a la conclusió que aq</w:t>
      </w:r>
      <w:r w:rsidRPr="00117EDE">
        <w:rPr>
          <w:sz w:val="22"/>
          <w:szCs w:val="22"/>
        </w:rPr>
        <w:t>uest esborrany de Pla continua incrementant les pressions provocades pels usuaris privatius i econòmics, en detriment dels usos comuns</w:t>
      </w:r>
      <w:r>
        <w:rPr>
          <w:sz w:val="22"/>
          <w:szCs w:val="22"/>
        </w:rPr>
        <w:t xml:space="preserve"> (banyar-se, usos recreatius in situ, pescar, etc.)</w:t>
      </w:r>
      <w:r w:rsidRPr="00117EDE">
        <w:rPr>
          <w:sz w:val="22"/>
          <w:szCs w:val="22"/>
        </w:rPr>
        <w:t xml:space="preserve"> i de la recuperació ambiental dels rius, aqüífers i zones humides.</w:t>
      </w:r>
      <w:r>
        <w:rPr>
          <w:sz w:val="22"/>
          <w:szCs w:val="22"/>
        </w:rPr>
        <w:t xml:space="preserve"> Per tant, els </w:t>
      </w:r>
      <w:proofErr w:type="spellStart"/>
      <w:r>
        <w:rPr>
          <w:sz w:val="22"/>
          <w:szCs w:val="22"/>
        </w:rPr>
        <w:t>sotasignants</w:t>
      </w:r>
      <w:proofErr w:type="spellEnd"/>
      <w:r>
        <w:rPr>
          <w:sz w:val="22"/>
          <w:szCs w:val="22"/>
        </w:rPr>
        <w:t xml:space="preserve"> </w:t>
      </w:r>
      <w:r w:rsidR="00041E26" w:rsidRPr="00117EDE">
        <w:rPr>
          <w:b/>
          <w:sz w:val="22"/>
          <w:szCs w:val="22"/>
          <w:u w:val="single"/>
        </w:rPr>
        <w:t xml:space="preserve">demanem una modificació substancial de l'actual esborrany de manera que </w:t>
      </w:r>
      <w:proofErr w:type="spellStart"/>
      <w:r w:rsidR="00041E26" w:rsidRPr="00117EDE">
        <w:rPr>
          <w:b/>
          <w:sz w:val="22"/>
          <w:szCs w:val="22"/>
          <w:u w:val="single"/>
        </w:rPr>
        <w:t>done</w:t>
      </w:r>
      <w:proofErr w:type="spellEnd"/>
      <w:r w:rsidR="00041E26" w:rsidRPr="00117EDE">
        <w:rPr>
          <w:b/>
          <w:sz w:val="22"/>
          <w:szCs w:val="22"/>
          <w:u w:val="single"/>
        </w:rPr>
        <w:t xml:space="preserve"> compliment a la Directiva Marc de l'Aigua</w:t>
      </w:r>
      <w:r w:rsidR="00EE431E" w:rsidRPr="00117EDE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i</w:t>
      </w:r>
      <w:r w:rsidR="00EE431E" w:rsidRPr="00117EDE">
        <w:rPr>
          <w:b/>
          <w:sz w:val="22"/>
          <w:szCs w:val="22"/>
        </w:rPr>
        <w:t xml:space="preserve"> que </w:t>
      </w:r>
      <w:proofErr w:type="spellStart"/>
      <w:r w:rsidR="00EE431E" w:rsidRPr="00117EDE">
        <w:rPr>
          <w:b/>
          <w:sz w:val="22"/>
          <w:szCs w:val="22"/>
        </w:rPr>
        <w:t>contemple</w:t>
      </w:r>
      <w:proofErr w:type="spellEnd"/>
      <w:r>
        <w:rPr>
          <w:b/>
          <w:sz w:val="22"/>
          <w:szCs w:val="22"/>
        </w:rPr>
        <w:t>,</w:t>
      </w:r>
      <w:r w:rsidR="00EE431E" w:rsidRPr="00117EDE">
        <w:rPr>
          <w:b/>
          <w:sz w:val="22"/>
          <w:szCs w:val="22"/>
        </w:rPr>
        <w:t xml:space="preserve"> entre </w:t>
      </w:r>
      <w:r>
        <w:rPr>
          <w:b/>
          <w:sz w:val="22"/>
          <w:szCs w:val="22"/>
        </w:rPr>
        <w:t>d’</w:t>
      </w:r>
      <w:r w:rsidR="00EE431E" w:rsidRPr="00117EDE">
        <w:rPr>
          <w:b/>
          <w:sz w:val="22"/>
          <w:szCs w:val="22"/>
        </w:rPr>
        <w:t>altres</w:t>
      </w:r>
      <w:r>
        <w:rPr>
          <w:b/>
          <w:sz w:val="22"/>
          <w:szCs w:val="22"/>
        </w:rPr>
        <w:t>,</w:t>
      </w:r>
      <w:r w:rsidR="00EE431E" w:rsidRPr="00117EDE">
        <w:rPr>
          <w:b/>
          <w:sz w:val="22"/>
          <w:szCs w:val="22"/>
        </w:rPr>
        <w:t xml:space="preserve"> el següent:</w:t>
      </w:r>
    </w:p>
    <w:p w:rsidR="00EE431E" w:rsidRPr="00117EDE" w:rsidRDefault="00EE431E" w:rsidP="00C348DD">
      <w:pPr>
        <w:rPr>
          <w:sz w:val="22"/>
          <w:szCs w:val="22"/>
        </w:rPr>
      </w:pPr>
    </w:p>
    <w:p w:rsidR="00F31E73" w:rsidRPr="00117EDE" w:rsidRDefault="00F31E73" w:rsidP="00C348DD">
      <w:pPr>
        <w:rPr>
          <w:sz w:val="22"/>
          <w:szCs w:val="22"/>
        </w:rPr>
      </w:pPr>
      <w:r w:rsidRPr="00117EDE">
        <w:rPr>
          <w:sz w:val="22"/>
          <w:szCs w:val="22"/>
        </w:rPr>
        <w:t xml:space="preserve">- </w:t>
      </w:r>
      <w:r w:rsidR="00041E26" w:rsidRPr="00117EDE">
        <w:rPr>
          <w:sz w:val="22"/>
          <w:szCs w:val="22"/>
        </w:rPr>
        <w:t xml:space="preserve">El Pla del Xúquer ha de </w:t>
      </w:r>
      <w:r w:rsidR="00082632" w:rsidRPr="00117EDE">
        <w:rPr>
          <w:sz w:val="22"/>
          <w:szCs w:val="22"/>
        </w:rPr>
        <w:t>tancar</w:t>
      </w:r>
      <w:r w:rsidR="001F1146" w:rsidRPr="00117EDE">
        <w:rPr>
          <w:sz w:val="22"/>
          <w:szCs w:val="22"/>
        </w:rPr>
        <w:t xml:space="preserve"> la possibilitat de</w:t>
      </w:r>
      <w:r w:rsidR="00E62FC8">
        <w:rPr>
          <w:sz w:val="22"/>
          <w:szCs w:val="22"/>
        </w:rPr>
        <w:t xml:space="preserve"> noves presses d’aigua a la conca del Xúquer per a</w:t>
      </w:r>
      <w:r w:rsidR="001F1146" w:rsidRPr="00117EDE">
        <w:rPr>
          <w:sz w:val="22"/>
          <w:szCs w:val="22"/>
        </w:rPr>
        <w:t xml:space="preserve"> transvasaments</w:t>
      </w:r>
      <w:r w:rsidR="00041E26" w:rsidRPr="00117EDE">
        <w:rPr>
          <w:sz w:val="22"/>
          <w:szCs w:val="22"/>
        </w:rPr>
        <w:t xml:space="preserve">. </w:t>
      </w:r>
    </w:p>
    <w:p w:rsidR="00EE431E" w:rsidRPr="00117EDE" w:rsidRDefault="00F31E73" w:rsidP="00C348DD">
      <w:pPr>
        <w:rPr>
          <w:sz w:val="22"/>
          <w:szCs w:val="22"/>
        </w:rPr>
      </w:pPr>
      <w:r w:rsidRPr="00117EDE">
        <w:rPr>
          <w:sz w:val="22"/>
          <w:szCs w:val="22"/>
        </w:rPr>
        <w:t xml:space="preserve">- </w:t>
      </w:r>
      <w:r w:rsidR="00041E26" w:rsidRPr="00117EDE">
        <w:rPr>
          <w:sz w:val="22"/>
          <w:szCs w:val="22"/>
        </w:rPr>
        <w:t>É</w:t>
      </w:r>
      <w:r w:rsidR="001F1146" w:rsidRPr="00117EDE">
        <w:rPr>
          <w:sz w:val="22"/>
          <w:szCs w:val="22"/>
        </w:rPr>
        <w:t xml:space="preserve">s imprescindible una disminució </w:t>
      </w:r>
      <w:r w:rsidR="00E62FC8">
        <w:rPr>
          <w:sz w:val="22"/>
          <w:szCs w:val="22"/>
        </w:rPr>
        <w:t>substancial de</w:t>
      </w:r>
      <w:r w:rsidR="001F1146" w:rsidRPr="00117EDE">
        <w:rPr>
          <w:sz w:val="22"/>
          <w:szCs w:val="22"/>
        </w:rPr>
        <w:t xml:space="preserve"> les extraccions de l'aqüífer </w:t>
      </w:r>
      <w:r w:rsidR="00702D9B" w:rsidRPr="00117EDE">
        <w:rPr>
          <w:sz w:val="22"/>
          <w:szCs w:val="22"/>
        </w:rPr>
        <w:t xml:space="preserve">de la Manxa Oriental, </w:t>
      </w:r>
      <w:r w:rsidR="00E62FC8">
        <w:rPr>
          <w:sz w:val="22"/>
          <w:szCs w:val="22"/>
        </w:rPr>
        <w:t>per sota els 240 hm3/any –recurs renovable en règim natural al que s’ha de restar l’aportació de cabal base d’aquest aqüífer al Xúquer a Albacete. A</w:t>
      </w:r>
      <w:r w:rsidR="005060EF" w:rsidRPr="00117EDE">
        <w:rPr>
          <w:sz w:val="22"/>
          <w:szCs w:val="22"/>
        </w:rPr>
        <w:t>questa disminució no s'ha de compensar amb aigües superficials, ja que aquesta detracció acaba</w:t>
      </w:r>
      <w:r w:rsidR="00E62FC8">
        <w:rPr>
          <w:sz w:val="22"/>
          <w:szCs w:val="22"/>
        </w:rPr>
        <w:t>ria</w:t>
      </w:r>
      <w:r w:rsidR="005060EF" w:rsidRPr="00117EDE">
        <w:rPr>
          <w:sz w:val="22"/>
          <w:szCs w:val="22"/>
        </w:rPr>
        <w:t xml:space="preserve"> </w:t>
      </w:r>
      <w:r w:rsidR="00E62FC8">
        <w:rPr>
          <w:sz w:val="22"/>
          <w:szCs w:val="22"/>
        </w:rPr>
        <w:t>reduint de</w:t>
      </w:r>
      <w:r w:rsidR="005060EF" w:rsidRPr="00117EDE">
        <w:rPr>
          <w:sz w:val="22"/>
          <w:szCs w:val="22"/>
        </w:rPr>
        <w:t xml:space="preserve"> mane</w:t>
      </w:r>
      <w:r w:rsidR="00EA7C0E" w:rsidRPr="00117EDE">
        <w:rPr>
          <w:sz w:val="22"/>
          <w:szCs w:val="22"/>
        </w:rPr>
        <w:t>ra</w:t>
      </w:r>
      <w:r w:rsidR="00082632" w:rsidRPr="00117EDE">
        <w:rPr>
          <w:sz w:val="22"/>
          <w:szCs w:val="22"/>
        </w:rPr>
        <w:t xml:space="preserve"> immediata</w:t>
      </w:r>
      <w:r w:rsidR="00EA7C0E" w:rsidRPr="00117EDE">
        <w:rPr>
          <w:sz w:val="22"/>
          <w:szCs w:val="22"/>
        </w:rPr>
        <w:t xml:space="preserve"> </w:t>
      </w:r>
      <w:r w:rsidR="00E62FC8">
        <w:rPr>
          <w:sz w:val="22"/>
          <w:szCs w:val="22"/>
        </w:rPr>
        <w:t>els cabals del riu.</w:t>
      </w:r>
      <w:r w:rsidR="00702D9B" w:rsidRPr="00117EDE">
        <w:rPr>
          <w:sz w:val="22"/>
          <w:szCs w:val="22"/>
        </w:rPr>
        <w:t xml:space="preserve"> </w:t>
      </w:r>
    </w:p>
    <w:p w:rsidR="00EE431E" w:rsidRPr="00117EDE" w:rsidRDefault="00EE431E" w:rsidP="00C348DD">
      <w:pPr>
        <w:rPr>
          <w:sz w:val="22"/>
          <w:szCs w:val="22"/>
        </w:rPr>
      </w:pPr>
      <w:r w:rsidRPr="00117EDE">
        <w:rPr>
          <w:sz w:val="22"/>
          <w:szCs w:val="22"/>
        </w:rPr>
        <w:t xml:space="preserve">- </w:t>
      </w:r>
      <w:r w:rsidR="00EA7C0E" w:rsidRPr="00117EDE">
        <w:rPr>
          <w:sz w:val="22"/>
          <w:szCs w:val="22"/>
        </w:rPr>
        <w:t>Els cabals ecològics</w:t>
      </w:r>
      <w:r w:rsidR="00082632" w:rsidRPr="00117EDE">
        <w:rPr>
          <w:sz w:val="22"/>
          <w:szCs w:val="22"/>
        </w:rPr>
        <w:t xml:space="preserve"> mínims</w:t>
      </w:r>
      <w:r w:rsidR="00EA7C0E" w:rsidRPr="00117EDE">
        <w:rPr>
          <w:sz w:val="22"/>
          <w:szCs w:val="22"/>
        </w:rPr>
        <w:t xml:space="preserve"> del riu</w:t>
      </w:r>
      <w:r w:rsidR="00E62FC8">
        <w:rPr>
          <w:sz w:val="22"/>
          <w:szCs w:val="22"/>
        </w:rPr>
        <w:t>s</w:t>
      </w:r>
      <w:r w:rsidR="00EA7C0E" w:rsidRPr="00117EDE">
        <w:rPr>
          <w:sz w:val="22"/>
          <w:szCs w:val="22"/>
        </w:rPr>
        <w:t xml:space="preserve"> i de l'Albufera han d'incrementar-se significativament</w:t>
      </w:r>
      <w:r w:rsidR="00E311A8" w:rsidRPr="00117EDE">
        <w:rPr>
          <w:sz w:val="22"/>
          <w:szCs w:val="22"/>
        </w:rPr>
        <w:t xml:space="preserve"> i han d'</w:t>
      </w:r>
      <w:r w:rsidR="00082632" w:rsidRPr="00117EDE">
        <w:rPr>
          <w:sz w:val="22"/>
          <w:szCs w:val="22"/>
        </w:rPr>
        <w:t>establir</w:t>
      </w:r>
      <w:r w:rsidR="00E62FC8">
        <w:rPr>
          <w:sz w:val="22"/>
          <w:szCs w:val="22"/>
        </w:rPr>
        <w:t>-se</w:t>
      </w:r>
      <w:r w:rsidR="00082632" w:rsidRPr="00117EDE">
        <w:rPr>
          <w:sz w:val="22"/>
          <w:szCs w:val="22"/>
        </w:rPr>
        <w:t xml:space="preserve"> la resta de components del règim ecològic de cabals</w:t>
      </w:r>
      <w:r w:rsidR="00E62FC8">
        <w:rPr>
          <w:sz w:val="22"/>
          <w:szCs w:val="22"/>
        </w:rPr>
        <w:t xml:space="preserve"> d’acord amb l</w:t>
      </w:r>
      <w:r w:rsidR="00082632" w:rsidRPr="00117EDE">
        <w:rPr>
          <w:sz w:val="22"/>
          <w:szCs w:val="22"/>
        </w:rPr>
        <w:t>a legislació</w:t>
      </w:r>
      <w:r w:rsidR="00E62FC8">
        <w:rPr>
          <w:sz w:val="22"/>
          <w:szCs w:val="22"/>
        </w:rPr>
        <w:t xml:space="preserve"> vigent. La implementació dels règims de cabals ecològics com a restriccions de caràcter general a l’explotació dels rius pels usuaris privatius ha de ser immediata, des de l’entrada en vigor d’aquest nou Pla.</w:t>
      </w:r>
      <w:r w:rsidR="00EA7C0E" w:rsidRPr="00117EDE">
        <w:rPr>
          <w:sz w:val="22"/>
          <w:szCs w:val="22"/>
        </w:rPr>
        <w:t xml:space="preserve"> </w:t>
      </w:r>
    </w:p>
    <w:p w:rsidR="002111F2" w:rsidRPr="00117EDE" w:rsidRDefault="002111F2" w:rsidP="00C348DD">
      <w:pPr>
        <w:rPr>
          <w:sz w:val="22"/>
          <w:szCs w:val="22"/>
        </w:rPr>
      </w:pPr>
      <w:r w:rsidRPr="00117EDE">
        <w:rPr>
          <w:sz w:val="22"/>
          <w:szCs w:val="22"/>
        </w:rPr>
        <w:t xml:space="preserve">- L'assignació d'aigua superficial del Xúquer per als abastiments de la Ribera ha de tindre la mateixa consideració que l'assignació atorgada a Albacete, Sagunt i València i la seua àrea metropolitana, sense estar condicionada a permutes </w:t>
      </w:r>
      <w:r w:rsidR="00E62FC8">
        <w:rPr>
          <w:sz w:val="22"/>
          <w:szCs w:val="22"/>
        </w:rPr>
        <w:t xml:space="preserve">amb altres usuaris </w:t>
      </w:r>
      <w:r w:rsidRPr="00117EDE">
        <w:rPr>
          <w:sz w:val="22"/>
          <w:szCs w:val="22"/>
        </w:rPr>
        <w:t>oneroses</w:t>
      </w:r>
      <w:r w:rsidR="00E62FC8">
        <w:rPr>
          <w:sz w:val="22"/>
          <w:szCs w:val="22"/>
        </w:rPr>
        <w:t xml:space="preserve"> pels abastiments afectats</w:t>
      </w:r>
      <w:r w:rsidRPr="00117EDE">
        <w:rPr>
          <w:sz w:val="22"/>
          <w:szCs w:val="22"/>
        </w:rPr>
        <w:t xml:space="preserve">. </w:t>
      </w:r>
      <w:r w:rsidR="00E62FC8">
        <w:rPr>
          <w:sz w:val="22"/>
          <w:szCs w:val="22"/>
        </w:rPr>
        <w:t>Es tracta de articular una c</w:t>
      </w:r>
      <w:r w:rsidRPr="00117EDE">
        <w:rPr>
          <w:sz w:val="22"/>
          <w:szCs w:val="22"/>
        </w:rPr>
        <w:t xml:space="preserve">oncessió </w:t>
      </w:r>
      <w:r w:rsidR="00E62FC8">
        <w:rPr>
          <w:sz w:val="22"/>
          <w:szCs w:val="22"/>
        </w:rPr>
        <w:t>fins els</w:t>
      </w:r>
      <w:r w:rsidRPr="00117EDE">
        <w:rPr>
          <w:sz w:val="22"/>
          <w:szCs w:val="22"/>
        </w:rPr>
        <w:t xml:space="preserve"> 31 hm3</w:t>
      </w:r>
      <w:r w:rsidR="00E62FC8">
        <w:rPr>
          <w:sz w:val="22"/>
          <w:szCs w:val="22"/>
        </w:rPr>
        <w:t>/any</w:t>
      </w:r>
      <w:r w:rsidRPr="00117EDE">
        <w:rPr>
          <w:sz w:val="22"/>
          <w:szCs w:val="22"/>
        </w:rPr>
        <w:t>, capacitat de</w:t>
      </w:r>
      <w:r w:rsidR="00E62FC8">
        <w:rPr>
          <w:sz w:val="22"/>
          <w:szCs w:val="22"/>
        </w:rPr>
        <w:t xml:space="preserve"> tractament de</w:t>
      </w:r>
      <w:r w:rsidRPr="00117EDE">
        <w:rPr>
          <w:sz w:val="22"/>
          <w:szCs w:val="22"/>
        </w:rPr>
        <w:t xml:space="preserve"> la potabilitzadora en construcció. </w:t>
      </w:r>
      <w:r w:rsidR="00E62FC8">
        <w:rPr>
          <w:sz w:val="22"/>
          <w:szCs w:val="22"/>
        </w:rPr>
        <w:t>Al mateix temps, s’han d’incloure amb la màxima prioritat totes les mesures necessàries per recuperar e</w:t>
      </w:r>
      <w:r w:rsidRPr="00117EDE">
        <w:rPr>
          <w:sz w:val="22"/>
          <w:szCs w:val="22"/>
        </w:rPr>
        <w:t xml:space="preserve">ls aqüífers contaminats </w:t>
      </w:r>
      <w:r w:rsidR="00E62FC8">
        <w:rPr>
          <w:sz w:val="22"/>
          <w:szCs w:val="22"/>
        </w:rPr>
        <w:t xml:space="preserve">el més aviat possible, ja que és la garantia de llarg termini de disponibilitat d’aigua en quantitat i qualitat pels abastiments de la Ribera. </w:t>
      </w:r>
    </w:p>
    <w:p w:rsidR="00EA7C0E" w:rsidRPr="00117EDE" w:rsidRDefault="00EE431E" w:rsidP="00C348DD">
      <w:pPr>
        <w:rPr>
          <w:sz w:val="22"/>
          <w:szCs w:val="22"/>
        </w:rPr>
      </w:pPr>
      <w:r w:rsidRPr="00117EDE">
        <w:rPr>
          <w:sz w:val="22"/>
          <w:szCs w:val="22"/>
        </w:rPr>
        <w:t xml:space="preserve">- </w:t>
      </w:r>
      <w:r w:rsidR="00015824" w:rsidRPr="00117EDE">
        <w:rPr>
          <w:sz w:val="22"/>
          <w:szCs w:val="22"/>
        </w:rPr>
        <w:t>Les assignacions i reserves establides en el Pla han d'ajustar-se a la disponibilitat real</w:t>
      </w:r>
      <w:r w:rsidR="00E62FC8">
        <w:rPr>
          <w:sz w:val="22"/>
          <w:szCs w:val="22"/>
        </w:rPr>
        <w:t xml:space="preserve"> de recursos</w:t>
      </w:r>
      <w:r w:rsidR="00015824" w:rsidRPr="00117EDE">
        <w:rPr>
          <w:sz w:val="22"/>
          <w:szCs w:val="22"/>
        </w:rPr>
        <w:t>, una vegada descomptats els cabals ecològics.</w:t>
      </w:r>
      <w:r w:rsidR="00E62FC8">
        <w:rPr>
          <w:sz w:val="22"/>
          <w:szCs w:val="22"/>
        </w:rPr>
        <w:t xml:space="preserve"> També s’hauria de tenir en compte el impacte del canvi climàtic, que segons els estudis existents, provocarà una reducció important dels recursos hídrics disponibles en les properes dècades</w:t>
      </w:r>
      <w:r w:rsidR="00015824" w:rsidRPr="00117EDE">
        <w:rPr>
          <w:sz w:val="22"/>
          <w:szCs w:val="22"/>
        </w:rPr>
        <w:t>.</w:t>
      </w:r>
    </w:p>
    <w:p w:rsidR="00F456AD" w:rsidRDefault="00F456AD" w:rsidP="00C34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119"/>
        <w:gridCol w:w="1701"/>
        <w:gridCol w:w="2014"/>
      </w:tblGrid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jc w:val="center"/>
              <w:rPr>
                <w:rFonts w:ascii="Calibri" w:eastAsia="Calibri" w:hAnsi="Calibri" w:cs="Calibri,Bold"/>
                <w:b/>
                <w:sz w:val="26"/>
                <w:szCs w:val="26"/>
              </w:rPr>
            </w:pPr>
            <w:r w:rsidRPr="00683B13">
              <w:rPr>
                <w:rFonts w:ascii="Calibri" w:eastAsia="Calibri" w:hAnsi="Calibri" w:cs="Calibri,Bold"/>
                <w:b/>
                <w:sz w:val="26"/>
                <w:szCs w:val="26"/>
              </w:rPr>
              <w:t>NOM I COGNOMS</w:t>
            </w:r>
          </w:p>
        </w:tc>
        <w:tc>
          <w:tcPr>
            <w:tcW w:w="3119" w:type="dxa"/>
          </w:tcPr>
          <w:p w:rsidR="00F456AD" w:rsidRPr="00683B13" w:rsidRDefault="00F456AD" w:rsidP="00ED4E94">
            <w:pPr>
              <w:jc w:val="center"/>
              <w:rPr>
                <w:rFonts w:ascii="Calibri" w:eastAsia="Calibri" w:hAnsi="Calibri" w:cs="Calibri,Bold"/>
                <w:b/>
                <w:sz w:val="26"/>
                <w:szCs w:val="26"/>
              </w:rPr>
            </w:pPr>
            <w:r w:rsidRPr="00683B13">
              <w:rPr>
                <w:rFonts w:ascii="Calibri" w:eastAsia="Calibri" w:hAnsi="Calibri" w:cs="Calibri,Bold"/>
                <w:b/>
                <w:sz w:val="26"/>
                <w:szCs w:val="26"/>
              </w:rPr>
              <w:t>DOMICILI</w:t>
            </w:r>
          </w:p>
        </w:tc>
        <w:tc>
          <w:tcPr>
            <w:tcW w:w="1701" w:type="dxa"/>
          </w:tcPr>
          <w:p w:rsidR="00F456AD" w:rsidRPr="00683B13" w:rsidRDefault="00F456AD" w:rsidP="00ED4E94">
            <w:pPr>
              <w:jc w:val="center"/>
              <w:rPr>
                <w:rFonts w:ascii="Calibri" w:eastAsia="Calibri" w:hAnsi="Calibri" w:cs="Calibri,Bold"/>
                <w:b/>
                <w:sz w:val="26"/>
                <w:szCs w:val="26"/>
              </w:rPr>
            </w:pPr>
            <w:r w:rsidRPr="00683B13">
              <w:rPr>
                <w:rFonts w:ascii="Calibri" w:eastAsia="Calibri" w:hAnsi="Calibri" w:cs="Calibri,Bold"/>
                <w:b/>
                <w:sz w:val="26"/>
                <w:szCs w:val="26"/>
              </w:rPr>
              <w:t>DNI</w:t>
            </w:r>
          </w:p>
        </w:tc>
        <w:tc>
          <w:tcPr>
            <w:tcW w:w="2014" w:type="dxa"/>
          </w:tcPr>
          <w:p w:rsidR="00F456AD" w:rsidRPr="00683B13" w:rsidRDefault="00F456AD" w:rsidP="00ED4E94">
            <w:pPr>
              <w:jc w:val="center"/>
              <w:rPr>
                <w:rFonts w:ascii="Calibri" w:eastAsia="Calibri" w:hAnsi="Calibri" w:cs="Calibri,Bold"/>
                <w:b/>
                <w:sz w:val="26"/>
                <w:szCs w:val="26"/>
              </w:rPr>
            </w:pPr>
            <w:r w:rsidRPr="00683B13">
              <w:rPr>
                <w:rFonts w:ascii="Calibri" w:eastAsia="Calibri" w:hAnsi="Calibri" w:cs="Calibri,Bold"/>
                <w:b/>
                <w:sz w:val="26"/>
                <w:szCs w:val="26"/>
              </w:rPr>
              <w:t>SIGNATURA</w:t>
            </w: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  <w:tr w:rsidR="00F456AD" w:rsidRPr="00683B13" w:rsidTr="00ED4E94">
        <w:tc>
          <w:tcPr>
            <w:tcW w:w="3510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  <w:tc>
          <w:tcPr>
            <w:tcW w:w="2014" w:type="dxa"/>
          </w:tcPr>
          <w:p w:rsidR="00F456AD" w:rsidRPr="00683B13" w:rsidRDefault="00F456AD" w:rsidP="00ED4E94">
            <w:pPr>
              <w:rPr>
                <w:rFonts w:ascii="Calibri" w:eastAsia="Calibri" w:hAnsi="Calibri" w:cs="Calibri,Bold"/>
                <w:b/>
                <w:sz w:val="26"/>
                <w:szCs w:val="26"/>
              </w:rPr>
            </w:pPr>
          </w:p>
        </w:tc>
      </w:tr>
    </w:tbl>
    <w:p w:rsidR="00F456AD" w:rsidRDefault="00F456AD" w:rsidP="00F456AD">
      <w:pPr>
        <w:rPr>
          <w:rFonts w:ascii="Calibri" w:hAnsi="Calibri" w:cs="Calibri,Bold"/>
          <w:b/>
          <w:sz w:val="26"/>
          <w:szCs w:val="26"/>
        </w:rPr>
      </w:pPr>
    </w:p>
    <w:p w:rsidR="00F456AD" w:rsidRPr="00987D5E" w:rsidRDefault="00F456AD" w:rsidP="00F456AD">
      <w:pPr>
        <w:rPr>
          <w:rFonts w:eastAsia="Calibri" w:cs="Tahoma"/>
          <w:b/>
          <w:sz w:val="22"/>
          <w:szCs w:val="22"/>
        </w:rPr>
      </w:pPr>
      <w:r w:rsidRPr="00987D5E">
        <w:rPr>
          <w:rFonts w:eastAsia="Calibri" w:cs="Tahoma"/>
          <w:b/>
          <w:sz w:val="22"/>
          <w:szCs w:val="22"/>
        </w:rPr>
        <w:t xml:space="preserve">Envieu els fulls signats en el mateix full per darrere a: </w:t>
      </w:r>
    </w:p>
    <w:p w:rsidR="00F456AD" w:rsidRPr="00987D5E" w:rsidRDefault="00F456AD" w:rsidP="00F456AD">
      <w:pPr>
        <w:rPr>
          <w:rFonts w:eastAsia="Calibri" w:cs="Tahoma"/>
          <w:b/>
          <w:sz w:val="22"/>
          <w:szCs w:val="22"/>
        </w:rPr>
      </w:pPr>
      <w:r w:rsidRPr="00987D5E">
        <w:rPr>
          <w:rFonts w:eastAsia="Calibri" w:cs="Tahoma"/>
          <w:b/>
          <w:sz w:val="22"/>
          <w:szCs w:val="22"/>
        </w:rPr>
        <w:t>Xúquer Viu, Apartat de Correus 167, 46250 l'Alcúdia</w:t>
      </w:r>
    </w:p>
    <w:sectPr w:rsidR="00F456AD" w:rsidRPr="00987D5E" w:rsidSect="006961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6E5C"/>
    <w:rsid w:val="00015824"/>
    <w:rsid w:val="00022A6F"/>
    <w:rsid w:val="00031387"/>
    <w:rsid w:val="00041E26"/>
    <w:rsid w:val="00044903"/>
    <w:rsid w:val="00053412"/>
    <w:rsid w:val="00074BD4"/>
    <w:rsid w:val="00082632"/>
    <w:rsid w:val="000A6733"/>
    <w:rsid w:val="000F41C0"/>
    <w:rsid w:val="00117EDE"/>
    <w:rsid w:val="00160F99"/>
    <w:rsid w:val="001F1146"/>
    <w:rsid w:val="002111F2"/>
    <w:rsid w:val="00214877"/>
    <w:rsid w:val="00256B74"/>
    <w:rsid w:val="00275354"/>
    <w:rsid w:val="00292413"/>
    <w:rsid w:val="002A483A"/>
    <w:rsid w:val="002E06F0"/>
    <w:rsid w:val="002E6390"/>
    <w:rsid w:val="00316B4D"/>
    <w:rsid w:val="00327E07"/>
    <w:rsid w:val="00393856"/>
    <w:rsid w:val="003A52A5"/>
    <w:rsid w:val="003C35FA"/>
    <w:rsid w:val="003C5750"/>
    <w:rsid w:val="003E6F40"/>
    <w:rsid w:val="00405879"/>
    <w:rsid w:val="00435E06"/>
    <w:rsid w:val="0046149D"/>
    <w:rsid w:val="004749C1"/>
    <w:rsid w:val="0047570C"/>
    <w:rsid w:val="00480987"/>
    <w:rsid w:val="00481FD0"/>
    <w:rsid w:val="004B03A4"/>
    <w:rsid w:val="004B0D70"/>
    <w:rsid w:val="004C0773"/>
    <w:rsid w:val="005060EF"/>
    <w:rsid w:val="00550949"/>
    <w:rsid w:val="005734AF"/>
    <w:rsid w:val="00584DB2"/>
    <w:rsid w:val="00592BA4"/>
    <w:rsid w:val="005F471F"/>
    <w:rsid w:val="00613F2F"/>
    <w:rsid w:val="006368A0"/>
    <w:rsid w:val="00673727"/>
    <w:rsid w:val="006961CB"/>
    <w:rsid w:val="0069729D"/>
    <w:rsid w:val="006A3F52"/>
    <w:rsid w:val="006B48AB"/>
    <w:rsid w:val="006C30B6"/>
    <w:rsid w:val="006C5809"/>
    <w:rsid w:val="006E75DA"/>
    <w:rsid w:val="006F442A"/>
    <w:rsid w:val="00700E09"/>
    <w:rsid w:val="00702D9B"/>
    <w:rsid w:val="00713D2E"/>
    <w:rsid w:val="00756E5C"/>
    <w:rsid w:val="00767421"/>
    <w:rsid w:val="007B534B"/>
    <w:rsid w:val="007C0B49"/>
    <w:rsid w:val="0080188B"/>
    <w:rsid w:val="008457FD"/>
    <w:rsid w:val="008720F4"/>
    <w:rsid w:val="008F6D54"/>
    <w:rsid w:val="00946F2D"/>
    <w:rsid w:val="009676F8"/>
    <w:rsid w:val="009B3495"/>
    <w:rsid w:val="009C7FC6"/>
    <w:rsid w:val="009D6B10"/>
    <w:rsid w:val="009E7FA6"/>
    <w:rsid w:val="00A30F6E"/>
    <w:rsid w:val="00A316ED"/>
    <w:rsid w:val="00A92AC9"/>
    <w:rsid w:val="00AB5FDC"/>
    <w:rsid w:val="00AB661C"/>
    <w:rsid w:val="00AD695B"/>
    <w:rsid w:val="00B10804"/>
    <w:rsid w:val="00B62AC8"/>
    <w:rsid w:val="00B6363A"/>
    <w:rsid w:val="00BE31E0"/>
    <w:rsid w:val="00C12D67"/>
    <w:rsid w:val="00C348DD"/>
    <w:rsid w:val="00C34985"/>
    <w:rsid w:val="00C603F8"/>
    <w:rsid w:val="00C93E35"/>
    <w:rsid w:val="00CA5379"/>
    <w:rsid w:val="00CD2787"/>
    <w:rsid w:val="00CE3A74"/>
    <w:rsid w:val="00CF236B"/>
    <w:rsid w:val="00CF4A1E"/>
    <w:rsid w:val="00D15E8A"/>
    <w:rsid w:val="00D37498"/>
    <w:rsid w:val="00D448C7"/>
    <w:rsid w:val="00D46584"/>
    <w:rsid w:val="00D533A0"/>
    <w:rsid w:val="00D54C25"/>
    <w:rsid w:val="00D634F8"/>
    <w:rsid w:val="00DC7B43"/>
    <w:rsid w:val="00DE32C2"/>
    <w:rsid w:val="00E311A8"/>
    <w:rsid w:val="00E4058A"/>
    <w:rsid w:val="00E62FC8"/>
    <w:rsid w:val="00E66B9D"/>
    <w:rsid w:val="00EA7C0E"/>
    <w:rsid w:val="00EB449E"/>
    <w:rsid w:val="00ED4E94"/>
    <w:rsid w:val="00EE431E"/>
    <w:rsid w:val="00F31E73"/>
    <w:rsid w:val="00F37479"/>
    <w:rsid w:val="00F456AD"/>
    <w:rsid w:val="00F624EE"/>
    <w:rsid w:val="00F95E39"/>
    <w:rsid w:val="00FA7725"/>
    <w:rsid w:val="00FB3BEE"/>
    <w:rsid w:val="00FB48B0"/>
    <w:rsid w:val="00FE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imes New Roman"/>
        <w:sz w:val="24"/>
        <w:szCs w:val="27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8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48DD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8AB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8AB"/>
    <w:rPr>
      <w:rFonts w:cs="Tahoma"/>
      <w:sz w:val="16"/>
      <w:szCs w:val="16"/>
      <w:lang w:val="ca-ES"/>
    </w:rPr>
  </w:style>
  <w:style w:type="character" w:customStyle="1" w:styleId="hps">
    <w:name w:val="hps"/>
    <w:basedOn w:val="Fuentedeprrafopredeter"/>
    <w:rsid w:val="00AD6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Paco Sanz</cp:lastModifiedBy>
  <cp:revision>2</cp:revision>
  <dcterms:created xsi:type="dcterms:W3CDTF">2013-11-10T17:31:00Z</dcterms:created>
  <dcterms:modified xsi:type="dcterms:W3CDTF">2013-11-11T06:57:00Z</dcterms:modified>
</cp:coreProperties>
</file>